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64D" w:rsidRPr="00BA071D" w:rsidRDefault="007D064D" w:rsidP="007D064D">
      <w:pPr>
        <w:pStyle w:val="BodyText"/>
        <w:widowControl/>
        <w:spacing w:after="0"/>
        <w:ind w:left="7513"/>
        <w:jc w:val="right"/>
        <w:rPr>
          <w:rFonts w:ascii="Times New Roman" w:hAnsi="Times New Roman"/>
          <w:b/>
          <w:bCs/>
          <w:color w:val="000000"/>
          <w:kern w:val="1"/>
          <w:szCs w:val="24"/>
          <w:lang w:val="lv-LV"/>
        </w:rPr>
      </w:pPr>
      <w:r>
        <w:rPr>
          <w:rFonts w:ascii="Times New Roman" w:hAnsi="Times New Roman"/>
          <w:b/>
          <w:bCs/>
          <w:color w:val="000000"/>
          <w:kern w:val="1"/>
          <w:szCs w:val="24"/>
          <w:lang w:val="lv-LV"/>
        </w:rPr>
        <w:t>2</w:t>
      </w:r>
      <w:r w:rsidRPr="00BA071D">
        <w:rPr>
          <w:rFonts w:ascii="Times New Roman" w:hAnsi="Times New Roman"/>
          <w:b/>
          <w:bCs/>
          <w:color w:val="000000"/>
          <w:kern w:val="1"/>
          <w:szCs w:val="24"/>
          <w:lang w:val="lv-LV"/>
        </w:rPr>
        <w:t>. pielikums</w:t>
      </w:r>
    </w:p>
    <w:p w:rsidR="007D064D" w:rsidRPr="00BA071D" w:rsidRDefault="007D064D" w:rsidP="007D064D">
      <w:pPr>
        <w:jc w:val="right"/>
        <w:rPr>
          <w:color w:val="000000"/>
          <w:lang w:val="lv-LV"/>
        </w:rPr>
      </w:pPr>
      <w:r w:rsidRPr="00BA071D">
        <w:rPr>
          <w:lang w:val="lv-LV"/>
        </w:rPr>
        <w:tab/>
      </w:r>
      <w:r w:rsidRPr="00BA071D">
        <w:rPr>
          <w:color w:val="000000"/>
          <w:lang w:val="lv-LV"/>
        </w:rPr>
        <w:t xml:space="preserve"> </w:t>
      </w:r>
    </w:p>
    <w:p w:rsidR="007D064D" w:rsidRPr="00BA071D" w:rsidRDefault="007D064D" w:rsidP="007D064D">
      <w:pPr>
        <w:pStyle w:val="Heading3"/>
        <w:widowControl w:val="0"/>
        <w:numPr>
          <w:ilvl w:val="2"/>
          <w:numId w:val="0"/>
        </w:numPr>
        <w:tabs>
          <w:tab w:val="num" w:pos="720"/>
        </w:tabs>
        <w:suppressAutoHyphens/>
        <w:spacing w:before="0" w:after="0"/>
        <w:ind w:left="720" w:hanging="720"/>
        <w:jc w:val="right"/>
        <w:rPr>
          <w:rFonts w:ascii="Times New Roman" w:eastAsia="Lucida Sans Unicode" w:hAnsi="Times New Roman" w:cs="Times New Roman"/>
          <w:b w:val="0"/>
          <w:bCs w:val="0"/>
          <w:color w:val="000000"/>
          <w:sz w:val="24"/>
          <w:szCs w:val="24"/>
          <w:lang w:val="lv-LV"/>
        </w:rPr>
      </w:pPr>
    </w:p>
    <w:p w:rsidR="007D064D" w:rsidRDefault="007D064D" w:rsidP="007D064D">
      <w:pPr>
        <w:pStyle w:val="Heading3"/>
        <w:widowControl w:val="0"/>
        <w:numPr>
          <w:ilvl w:val="2"/>
          <w:numId w:val="0"/>
        </w:numPr>
        <w:tabs>
          <w:tab w:val="num" w:pos="720"/>
        </w:tabs>
        <w:suppressAutoHyphens/>
        <w:spacing w:before="0" w:after="0"/>
        <w:ind w:left="720" w:hanging="720"/>
        <w:jc w:val="center"/>
        <w:rPr>
          <w:rFonts w:ascii="Times New Roman" w:eastAsia="Lucida Sans Unicode" w:hAnsi="Times New Roman" w:cs="Times New Roman"/>
          <w:bCs w:val="0"/>
          <w:color w:val="000000"/>
          <w:sz w:val="24"/>
          <w:szCs w:val="24"/>
          <w:lang w:val="lv-LV"/>
        </w:rPr>
      </w:pPr>
    </w:p>
    <w:p w:rsidR="007D064D" w:rsidRDefault="007D064D" w:rsidP="007D064D">
      <w:pPr>
        <w:pStyle w:val="Heading3"/>
        <w:widowControl w:val="0"/>
        <w:numPr>
          <w:ilvl w:val="2"/>
          <w:numId w:val="0"/>
        </w:numPr>
        <w:tabs>
          <w:tab w:val="num" w:pos="720"/>
        </w:tabs>
        <w:suppressAutoHyphens/>
        <w:spacing w:before="0" w:after="0"/>
        <w:ind w:left="720" w:hanging="720"/>
        <w:jc w:val="center"/>
        <w:rPr>
          <w:rFonts w:ascii="Times New Roman" w:eastAsia="Lucida Sans Unicode" w:hAnsi="Times New Roman" w:cs="Times New Roman"/>
          <w:bCs w:val="0"/>
          <w:color w:val="000000"/>
          <w:sz w:val="32"/>
          <w:szCs w:val="32"/>
          <w:lang w:val="lv-LV"/>
        </w:rPr>
      </w:pPr>
      <w:r w:rsidRPr="001677D4">
        <w:rPr>
          <w:rFonts w:ascii="Times New Roman" w:eastAsia="Lucida Sans Unicode" w:hAnsi="Times New Roman" w:cs="Times New Roman"/>
          <w:bCs w:val="0"/>
          <w:color w:val="000000"/>
          <w:sz w:val="32"/>
          <w:szCs w:val="32"/>
          <w:lang/>
        </w:rPr>
        <w:t>TEHNISKĀ SPECIFIKĀCIJA</w:t>
      </w:r>
    </w:p>
    <w:p w:rsidR="007D064D" w:rsidRPr="00861910" w:rsidRDefault="007D064D" w:rsidP="007D064D">
      <w:pPr>
        <w:rPr>
          <w:rFonts w:eastAsia="Lucida Sans Unicode"/>
          <w:lang w:val="lv-LV"/>
        </w:rPr>
      </w:pPr>
    </w:p>
    <w:p w:rsidR="007D064D" w:rsidRPr="00C43604" w:rsidRDefault="007D064D" w:rsidP="007D064D">
      <w:pPr>
        <w:numPr>
          <w:ilvl w:val="0"/>
          <w:numId w:val="2"/>
        </w:numPr>
        <w:tabs>
          <w:tab w:val="left" w:pos="900"/>
          <w:tab w:val="left" w:pos="1260"/>
        </w:tabs>
        <w:spacing w:after="200" w:line="276" w:lineRule="auto"/>
        <w:jc w:val="both"/>
        <w:rPr>
          <w:b/>
          <w:lang w:val="lv-LV"/>
        </w:rPr>
      </w:pPr>
      <w:r w:rsidRPr="00C43604">
        <w:rPr>
          <w:b/>
          <w:lang w:val="lv-LV"/>
        </w:rPr>
        <w:t>Iepirkuma priekšmets</w:t>
      </w:r>
      <w:r w:rsidRPr="00C43604">
        <w:rPr>
          <w:b/>
          <w:i/>
          <w:lang w:val="lv-LV"/>
        </w:rPr>
        <w:t xml:space="preserve"> –</w:t>
      </w:r>
      <w:r w:rsidRPr="00C43604">
        <w:rPr>
          <w:lang w:val="lv-LV"/>
        </w:rPr>
        <w:t xml:space="preserve"> </w:t>
      </w:r>
      <w:r w:rsidRPr="00C43604">
        <w:rPr>
          <w:color w:val="000000"/>
          <w:lang w:val="lv-LV"/>
        </w:rPr>
        <w:t>„</w:t>
      </w:r>
      <w:r w:rsidRPr="00C43604">
        <w:rPr>
          <w:b/>
          <w:lang w:val="lv-LV"/>
        </w:rPr>
        <w:t xml:space="preserve">Būvuzraudzības veikšana  projektam </w:t>
      </w:r>
      <w:r w:rsidRPr="00C43604">
        <w:rPr>
          <w:rFonts w:cs="Tahoma"/>
          <w:b/>
          <w:lang w:val="lv-LV"/>
        </w:rPr>
        <w:t>“</w:t>
      </w:r>
      <w:r w:rsidRPr="00C43604">
        <w:rPr>
          <w:b/>
          <w:lang w:val="lv-LV"/>
        </w:rPr>
        <w:t xml:space="preserve">Kompleksi risinājumi siltumnīcefekta gāzu emisijas samazināšanai </w:t>
      </w:r>
      <w:r>
        <w:rPr>
          <w:b/>
          <w:lang w:val="lv-LV"/>
        </w:rPr>
        <w:t>Ilūkstes novada kultūras centrā</w:t>
      </w:r>
      <w:r w:rsidRPr="00C43604">
        <w:rPr>
          <w:rFonts w:cs="Tahoma"/>
          <w:b/>
          <w:bCs/>
          <w:lang w:val="lv-LV"/>
        </w:rPr>
        <w:t xml:space="preserve"> ”</w:t>
      </w:r>
    </w:p>
    <w:p w:rsidR="007D064D" w:rsidRPr="0021128D" w:rsidRDefault="007D064D" w:rsidP="007D064D">
      <w:pPr>
        <w:numPr>
          <w:ilvl w:val="0"/>
          <w:numId w:val="2"/>
        </w:numPr>
        <w:jc w:val="both"/>
        <w:rPr>
          <w:b/>
          <w:i/>
        </w:rPr>
      </w:pPr>
      <w:r w:rsidRPr="009C0E61">
        <w:rPr>
          <w:b/>
        </w:rPr>
        <w:t>Pasūtītājs</w:t>
      </w:r>
      <w:r w:rsidRPr="009C0E61">
        <w:rPr>
          <w:b/>
          <w:i/>
        </w:rPr>
        <w:t xml:space="preserve"> </w:t>
      </w:r>
      <w:r w:rsidRPr="009C0E61">
        <w:t>– Ilūkstes novada pašvaldība</w:t>
      </w:r>
    </w:p>
    <w:p w:rsidR="007D064D" w:rsidRPr="00B87F2C" w:rsidRDefault="007D064D" w:rsidP="007D064D">
      <w:pPr>
        <w:ind w:left="360"/>
        <w:jc w:val="both"/>
        <w:rPr>
          <w:b/>
          <w:i/>
        </w:rPr>
      </w:pPr>
    </w:p>
    <w:p w:rsidR="007D064D" w:rsidRPr="0021128D" w:rsidRDefault="007D064D" w:rsidP="007D064D">
      <w:pPr>
        <w:numPr>
          <w:ilvl w:val="0"/>
          <w:numId w:val="2"/>
        </w:numPr>
        <w:jc w:val="both"/>
        <w:rPr>
          <w:b/>
          <w:i/>
        </w:rPr>
      </w:pPr>
      <w:r>
        <w:rPr>
          <w:b/>
        </w:rPr>
        <w:t>Pretendents___________</w:t>
      </w:r>
    </w:p>
    <w:p w:rsidR="007D064D" w:rsidRPr="0021128D" w:rsidRDefault="007D064D" w:rsidP="007D064D">
      <w:pPr>
        <w:ind w:left="360"/>
        <w:jc w:val="both"/>
        <w:rPr>
          <w:b/>
          <w:i/>
        </w:rPr>
      </w:pPr>
    </w:p>
    <w:p w:rsidR="007D064D" w:rsidRDefault="007D064D" w:rsidP="007D064D">
      <w:pPr>
        <w:pStyle w:val="BodyText"/>
        <w:widowControl/>
        <w:numPr>
          <w:ilvl w:val="0"/>
          <w:numId w:val="2"/>
        </w:numPr>
        <w:tabs>
          <w:tab w:val="left" w:pos="1276"/>
        </w:tabs>
        <w:spacing w:after="0"/>
        <w:jc w:val="both"/>
        <w:rPr>
          <w:rFonts w:ascii="Times New Roman" w:hAnsi="Times New Roman"/>
          <w:color w:val="000000"/>
          <w:szCs w:val="24"/>
          <w:lang w:val="lv-LV"/>
        </w:rPr>
      </w:pPr>
      <w:r w:rsidRPr="00420B92">
        <w:rPr>
          <w:rFonts w:ascii="Times New Roman" w:hAnsi="Times New Roman"/>
          <w:b/>
        </w:rPr>
        <w:t>Darbu izpildes termiņš</w:t>
      </w:r>
      <w:r w:rsidRPr="00420B92">
        <w:rPr>
          <w:rFonts w:ascii="Times New Roman" w:hAnsi="Times New Roman"/>
          <w:b/>
          <w:lang w:val="lv-LV"/>
        </w:rPr>
        <w:t xml:space="preserve">. </w:t>
      </w:r>
      <w:r w:rsidRPr="00420B92">
        <w:rPr>
          <w:rFonts w:ascii="Times New Roman" w:hAnsi="Times New Roman"/>
          <w:b/>
          <w:i/>
        </w:rPr>
        <w:t xml:space="preserve"> </w:t>
      </w:r>
      <w:r w:rsidRPr="000B2A57">
        <w:rPr>
          <w:rFonts w:ascii="Times New Roman" w:hAnsi="Times New Roman"/>
          <w:lang w:val="lv-LV"/>
        </w:rPr>
        <w:t>Būvuzraudzības līgums jānoslēdz</w:t>
      </w:r>
      <w:r>
        <w:rPr>
          <w:rFonts w:ascii="Times New Roman" w:hAnsi="Times New Roman"/>
          <w:b/>
          <w:i/>
          <w:lang w:val="lv-LV"/>
        </w:rPr>
        <w:t xml:space="preserve"> </w:t>
      </w:r>
      <w:r w:rsidRPr="00420B92">
        <w:rPr>
          <w:rFonts w:ascii="Times New Roman" w:hAnsi="Times New Roman"/>
          <w:color w:val="000000"/>
          <w:szCs w:val="24"/>
          <w:lang w:val="lv-LV"/>
        </w:rPr>
        <w:t xml:space="preserve">pirms būvdarbu uzsākšanas un </w:t>
      </w:r>
      <w:r>
        <w:rPr>
          <w:rFonts w:ascii="Times New Roman" w:hAnsi="Times New Roman"/>
          <w:color w:val="000000"/>
          <w:szCs w:val="24"/>
          <w:lang w:val="lv-LV"/>
        </w:rPr>
        <w:t>jā</w:t>
      </w:r>
      <w:r w:rsidRPr="00420B92">
        <w:rPr>
          <w:rFonts w:ascii="Times New Roman" w:hAnsi="Times New Roman"/>
          <w:color w:val="000000"/>
          <w:szCs w:val="24"/>
          <w:lang w:val="lv-LV"/>
        </w:rPr>
        <w:t>pabeidz, kad izpildīti līgumā noteiktie pien</w:t>
      </w:r>
      <w:r>
        <w:rPr>
          <w:rFonts w:ascii="Times New Roman" w:hAnsi="Times New Roman"/>
          <w:color w:val="000000"/>
          <w:szCs w:val="24"/>
          <w:lang w:val="lv-LV"/>
        </w:rPr>
        <w:t xml:space="preserve">ākumi, bet ne vēlāk kā līdz nolikuma 2.3.1 punktā norādītajam termiņam.  </w:t>
      </w:r>
    </w:p>
    <w:p w:rsidR="007D064D" w:rsidRPr="00BA4F81" w:rsidRDefault="007D064D" w:rsidP="007D064D">
      <w:pPr>
        <w:ind w:left="360"/>
        <w:jc w:val="both"/>
        <w:rPr>
          <w:b/>
        </w:rPr>
      </w:pPr>
    </w:p>
    <w:p w:rsidR="007D064D" w:rsidRDefault="007D064D" w:rsidP="007D064D">
      <w:pPr>
        <w:numPr>
          <w:ilvl w:val="0"/>
          <w:numId w:val="2"/>
        </w:numPr>
        <w:jc w:val="both"/>
        <w:rPr>
          <w:b/>
        </w:rPr>
      </w:pPr>
      <w:r w:rsidRPr="00BA4F81">
        <w:rPr>
          <w:b/>
        </w:rPr>
        <w:t>Vispārīgās prasības</w:t>
      </w:r>
      <w:r>
        <w:rPr>
          <w:b/>
        </w:rPr>
        <w:t>, kuras līguma izpildes tiesību piešķiršanas gadījumā __________apņemas</w:t>
      </w:r>
      <w:r w:rsidRPr="00BA4F81">
        <w:rPr>
          <w:b/>
        </w:rPr>
        <w:t>:</w:t>
      </w:r>
    </w:p>
    <w:p w:rsidR="007D064D" w:rsidRPr="006E04C1" w:rsidRDefault="007D064D" w:rsidP="007D064D">
      <w:pPr>
        <w:ind w:left="360"/>
        <w:jc w:val="both"/>
        <w:rPr>
          <w:b/>
        </w:rPr>
      </w:pPr>
      <w:r w:rsidRPr="006E04C1">
        <w:rPr>
          <w:i/>
        </w:rPr>
        <w:t xml:space="preserve">  (pretendents)</w:t>
      </w:r>
    </w:p>
    <w:p w:rsidR="007D064D" w:rsidRPr="00A70DE3" w:rsidRDefault="007D064D" w:rsidP="007D064D">
      <w:pPr>
        <w:numPr>
          <w:ilvl w:val="1"/>
          <w:numId w:val="4"/>
        </w:numPr>
        <w:jc w:val="both"/>
        <w:rPr>
          <w:szCs w:val="23"/>
        </w:rPr>
      </w:pPr>
      <w:r w:rsidRPr="00FD3BCD">
        <w:t xml:space="preserve">Veikt būvobjektos būvuzraudzību saskaņā ar 2004. gada 10. februārī izdotiem MK noteikumiem Nr. 75 „Noteikumi par Latvijas būvnormatīvu LBN 303-03 "Būvuzraudzības noteikumi””, Ministru Kabineta 01.04.1997. noteikumiem Nr.112 „Vispārīgie būvnoteikumi”, Ministru Kabineta 25.02.2003. noteikumiem Nr.92 „Darba aizsardzības prasības, veicot būvdarbus”, Ministru Kabineta 13.04.2004. noteikumiem Nr.299 „Noteikumi par būvju pieņemšanu ekspluatācijā” un </w:t>
      </w:r>
      <w:r>
        <w:rPr>
          <w:szCs w:val="23"/>
        </w:rPr>
        <w:t>citiem sai</w:t>
      </w:r>
      <w:r>
        <w:rPr>
          <w:szCs w:val="23"/>
          <w:lang w:val="lv-LV"/>
        </w:rPr>
        <w:t>s</w:t>
      </w:r>
      <w:r>
        <w:rPr>
          <w:szCs w:val="23"/>
        </w:rPr>
        <w:t>tošajiem noteikumiem, kas jāievēro sekmīga būvdarbu procesa realizēšanai.</w:t>
      </w:r>
    </w:p>
    <w:p w:rsidR="007D064D" w:rsidRPr="00FD3BCD" w:rsidRDefault="007D064D" w:rsidP="007D064D">
      <w:pPr>
        <w:numPr>
          <w:ilvl w:val="1"/>
          <w:numId w:val="4"/>
        </w:numPr>
        <w:ind w:hanging="502"/>
        <w:jc w:val="both"/>
      </w:pPr>
      <w:r w:rsidRPr="00FD3BCD">
        <w:t>iepazīties un sniegt atzinumu pasūtītājam par būvdarbu veicēja izstrādāto darbu veikšanas projektu,</w:t>
      </w:r>
      <w:r>
        <w:t xml:space="preserve"> </w:t>
      </w:r>
      <w:r w:rsidRPr="00FD3BCD">
        <w:t>norādot uz kļūdām, ja tādas ir un uzraudzīt tā izpildi atbilstoši darbu veikšanas projektā noteiktajiem termiņiem un kvalitātei;</w:t>
      </w:r>
    </w:p>
    <w:p w:rsidR="007D064D" w:rsidRPr="00FD3BCD" w:rsidRDefault="007D064D" w:rsidP="007D064D">
      <w:pPr>
        <w:numPr>
          <w:ilvl w:val="1"/>
          <w:numId w:val="4"/>
        </w:numPr>
        <w:ind w:left="1418" w:hanging="567"/>
        <w:jc w:val="both"/>
      </w:pPr>
      <w:r w:rsidRPr="00FD3BCD">
        <w:t>iepazīties un sniegt atzinumu pasūtītājam par būvdarbu veicēja kalendāro laika grafiku;</w:t>
      </w:r>
    </w:p>
    <w:p w:rsidR="007D064D" w:rsidRPr="00FD3BCD" w:rsidRDefault="007D064D" w:rsidP="007D064D">
      <w:pPr>
        <w:numPr>
          <w:ilvl w:val="1"/>
          <w:numId w:val="4"/>
        </w:numPr>
        <w:ind w:left="1418" w:hanging="567"/>
        <w:jc w:val="both"/>
      </w:pPr>
      <w:r w:rsidRPr="00FD3BCD">
        <w:t>kopā ar pasūtītāju un būvdarbu veicēju precizēt darbu izpildes kvalitātes pielaides;</w:t>
      </w:r>
    </w:p>
    <w:p w:rsidR="007D064D" w:rsidRPr="00FD3BCD" w:rsidRDefault="007D064D" w:rsidP="007D064D">
      <w:pPr>
        <w:numPr>
          <w:ilvl w:val="1"/>
          <w:numId w:val="4"/>
        </w:numPr>
        <w:ind w:left="1418" w:hanging="567"/>
        <w:jc w:val="both"/>
      </w:pPr>
      <w:r w:rsidRPr="004B54CC">
        <w:t>sadarbībā ar būvobjekta autoruzraugu</w:t>
      </w:r>
      <w:r>
        <w:t xml:space="preserve"> </w:t>
      </w:r>
      <w:r w:rsidRPr="00FD3BCD">
        <w:t>izvērtēt būvdarbu veicēja piedāvātās izmaiņas būvniecības projektu dokumentācijā un sniegt atzinumu pasūtītājam;</w:t>
      </w:r>
    </w:p>
    <w:p w:rsidR="007D064D" w:rsidRPr="00FD3BCD" w:rsidRDefault="007D064D" w:rsidP="007D064D">
      <w:pPr>
        <w:numPr>
          <w:ilvl w:val="1"/>
          <w:numId w:val="4"/>
        </w:numPr>
        <w:ind w:left="1418" w:hanging="567"/>
        <w:jc w:val="both"/>
      </w:pPr>
      <w:r w:rsidRPr="00FD3BCD">
        <w:t>piedalīties pasūtītāja vai būvdarbu veicēja iknedēļas būvsapulcēs, kurās piedalās būvniecības procesā iesaistītie dalībnieki, ja vien puses nevienojas par citu būvsapulču sasaukšanas kārtību. Nepieciešamības gadījumā, sasaukt ārkārtas būvsapulci, pirms tam laicīgi paziņojot par to būvuzņēmējam un citām iesaistītajām pusēm;</w:t>
      </w:r>
    </w:p>
    <w:p w:rsidR="007D064D" w:rsidRPr="00FF50FC" w:rsidRDefault="007D064D" w:rsidP="007D064D">
      <w:pPr>
        <w:numPr>
          <w:ilvl w:val="1"/>
          <w:numId w:val="4"/>
        </w:numPr>
        <w:ind w:left="1440" w:hanging="600"/>
        <w:jc w:val="both"/>
      </w:pPr>
      <w:r w:rsidRPr="00FF50FC">
        <w:t>kontrolēt kalendārā grafika ievērošanu un būvdarbu izpildes gaitu, informēt pasūtītāju par būvniecības procesa dalībnieku pieļautajiem pārkāpumiem un atkāpēm no projekta vai kalendārā grafika. Par būtiskiem pārkāpumiem nekavējoties ziņot pasūtītājam;</w:t>
      </w:r>
    </w:p>
    <w:p w:rsidR="007D064D" w:rsidRPr="00FD3BCD" w:rsidRDefault="007D064D" w:rsidP="007D064D">
      <w:pPr>
        <w:numPr>
          <w:ilvl w:val="1"/>
          <w:numId w:val="4"/>
        </w:numPr>
        <w:ind w:left="1440" w:hanging="600"/>
        <w:jc w:val="both"/>
      </w:pPr>
      <w:r w:rsidRPr="00FD3BCD">
        <w:t>apturēt būvdarbus būvobjektā LR normatīvajos aktos paredzētajos gadījumos un, ja tiek konstatēti pārkāpumi, kas saistīti ar būvdarbu līguma nosacījumu neievērošanu;</w:t>
      </w:r>
    </w:p>
    <w:p w:rsidR="007D064D" w:rsidRPr="00FD3BCD" w:rsidRDefault="007D064D" w:rsidP="007D064D">
      <w:pPr>
        <w:numPr>
          <w:ilvl w:val="1"/>
          <w:numId w:val="4"/>
        </w:numPr>
        <w:ind w:left="1440" w:hanging="600"/>
        <w:jc w:val="both"/>
      </w:pPr>
      <w:r w:rsidRPr="00FD3BCD">
        <w:t>izdarīt ierakstus būvdarbu žurnālā par būvobjekta pārbaudēs konstatētiem trūkumiem;</w:t>
      </w:r>
    </w:p>
    <w:p w:rsidR="007D064D" w:rsidRPr="00FD3BCD" w:rsidRDefault="007D064D" w:rsidP="007D064D">
      <w:pPr>
        <w:numPr>
          <w:ilvl w:val="1"/>
          <w:numId w:val="4"/>
        </w:numPr>
        <w:ind w:left="1440" w:hanging="600"/>
        <w:jc w:val="both"/>
      </w:pPr>
      <w:r w:rsidRPr="00FD3BCD">
        <w:lastRenderedPageBreak/>
        <w:t>ievērot darba drošības koordinatora norādījumus, bet pārkāpumu gadījumā informēt darba drošības koordinatoru un pasūtītāju par tiem;</w:t>
      </w:r>
    </w:p>
    <w:p w:rsidR="007D064D" w:rsidRPr="00FD3BCD" w:rsidRDefault="007D064D" w:rsidP="007D064D">
      <w:pPr>
        <w:numPr>
          <w:ilvl w:val="1"/>
          <w:numId w:val="4"/>
        </w:numPr>
        <w:ind w:left="1440" w:hanging="600"/>
        <w:jc w:val="both"/>
      </w:pPr>
      <w:r w:rsidRPr="00FD3BCD">
        <w:t>sniegt būvuzņēmējam norādījumus par izpildītā darba kvalitāti un defektu novēršanu;</w:t>
      </w:r>
    </w:p>
    <w:p w:rsidR="007D064D" w:rsidRPr="00FD3BCD" w:rsidRDefault="007D064D" w:rsidP="007D064D">
      <w:pPr>
        <w:numPr>
          <w:ilvl w:val="1"/>
          <w:numId w:val="4"/>
        </w:numPr>
        <w:ind w:left="1440" w:hanging="600"/>
        <w:jc w:val="both"/>
      </w:pPr>
      <w:r>
        <w:rPr>
          <w:lang w:val="lv-LV"/>
        </w:rPr>
        <w:t>regulāri būvdarbu laikā veikt objekta apsekošanu (ne retāk kā reizi dienā) arī būvdarbu laikā, kas rit ārpus normālā darba laika un brīvdienās</w:t>
      </w:r>
      <w:r w:rsidRPr="00FD3BCD">
        <w:t>;</w:t>
      </w:r>
    </w:p>
    <w:p w:rsidR="007D064D" w:rsidRDefault="007D064D" w:rsidP="007D064D">
      <w:pPr>
        <w:numPr>
          <w:ilvl w:val="1"/>
          <w:numId w:val="4"/>
        </w:numPr>
        <w:ind w:left="1440" w:hanging="600"/>
        <w:jc w:val="both"/>
      </w:pPr>
      <w:r w:rsidRPr="00FD3BCD">
        <w:t>kontrolēt būvniecības gaitu objektā, lai savlaicīgi konstatētu nekvalitatīvi veiktus darbus, vai nekvalitatīvu materiālu pielietojumu, kā arī pārbaudīt būvdarbos izmantojamo būvizstrādājumu atbilstības deklarācijas un tehniskās pases, kā arī būvizstrādājumu atbilstību tehniskajai dokumentācijai;</w:t>
      </w:r>
    </w:p>
    <w:p w:rsidR="007D064D" w:rsidRPr="00FD3BCD" w:rsidRDefault="007D064D" w:rsidP="007D064D">
      <w:pPr>
        <w:numPr>
          <w:ilvl w:val="1"/>
          <w:numId w:val="4"/>
        </w:numPr>
        <w:ind w:left="1440" w:hanging="600"/>
        <w:jc w:val="both"/>
      </w:pPr>
      <w:r w:rsidRPr="00FD3BCD">
        <w:t>piedalīties būvkonstrukciju, segto darbu un citu izpildīto būvdarbu pieņemšanā saskaņā ar Vispārīgo būvnoteikumu 155. punktu, izvērtēt un akceptēt Būvuzņēmēja sagatavotos segto darbu aktus un izpilddokumentāciju</w:t>
      </w:r>
      <w:r>
        <w:t>. Pārbaudīt būvuzņēmēja faktisko darbu izpildi starpmaksājumu gadījumos</w:t>
      </w:r>
      <w:r w:rsidRPr="00FD3BCD">
        <w:t>;</w:t>
      </w:r>
    </w:p>
    <w:p w:rsidR="007D064D" w:rsidRDefault="007D064D" w:rsidP="007D064D">
      <w:pPr>
        <w:numPr>
          <w:ilvl w:val="1"/>
          <w:numId w:val="4"/>
        </w:numPr>
        <w:ind w:left="1440" w:hanging="600"/>
        <w:jc w:val="both"/>
      </w:pPr>
      <w:r w:rsidRPr="00FD3BCD">
        <w:t>pieņemt tikai tos darbus, kas izpildīti atbilstoši tehniskajai dokumentācijai un normatīvajos aktos noteiktajām prasībām;</w:t>
      </w:r>
    </w:p>
    <w:p w:rsidR="007D064D" w:rsidRPr="008E6AD5" w:rsidRDefault="007D064D" w:rsidP="007D064D">
      <w:pPr>
        <w:numPr>
          <w:ilvl w:val="1"/>
          <w:numId w:val="4"/>
        </w:numPr>
        <w:ind w:left="1440" w:hanging="600"/>
        <w:jc w:val="both"/>
        <w:rPr>
          <w:b/>
          <w:spacing w:val="-2"/>
        </w:rPr>
      </w:pPr>
      <w:r>
        <w:t>Kontrolēt, lai būvdarbu rezultātā</w:t>
      </w:r>
      <w:r w:rsidRPr="00BC75BE">
        <w:t xml:space="preserve"> </w:t>
      </w:r>
      <w:r>
        <w:rPr>
          <w:lang w:val="lv-LV"/>
        </w:rPr>
        <w:t xml:space="preserve">Ilūkstes novada kultūras centrā </w:t>
      </w:r>
      <w:r w:rsidRPr="00BC75BE">
        <w:rPr>
          <w:spacing w:val="-2"/>
        </w:rPr>
        <w:t xml:space="preserve">saskaņā ar </w:t>
      </w:r>
      <w:r w:rsidRPr="00BC75BE">
        <w:rPr>
          <w:b/>
          <w:spacing w:val="-2"/>
        </w:rPr>
        <w:t>tehnisko projektu un darbu apjomiem</w:t>
      </w:r>
      <w:r w:rsidRPr="00BC75BE">
        <w:rPr>
          <w:spacing w:val="-2"/>
        </w:rPr>
        <w:t xml:space="preserve">, </w:t>
      </w:r>
      <w:r>
        <w:rPr>
          <w:spacing w:val="-2"/>
          <w:lang w:val="lv-LV"/>
        </w:rPr>
        <w:t xml:space="preserve">ievērojot veiktajā energoauditā un tehniskās apsekošanas atzinumā norādītos pasākumus, </w:t>
      </w:r>
      <w:r w:rsidRPr="00BC75BE">
        <w:rPr>
          <w:spacing w:val="-2"/>
        </w:rPr>
        <w:t>tiktu sasniegti sekojoši rādītāji:</w:t>
      </w:r>
    </w:p>
    <w:p w:rsidR="007D064D" w:rsidRPr="00BC75BE" w:rsidRDefault="007D064D" w:rsidP="007D064D">
      <w:pPr>
        <w:ind w:left="360"/>
        <w:jc w:val="both"/>
        <w:rPr>
          <w:b/>
          <w:spacing w:val="-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4"/>
        <w:gridCol w:w="3934"/>
      </w:tblGrid>
      <w:tr w:rsidR="007D064D" w:rsidRPr="00C43604" w:rsidTr="003368E2">
        <w:tc>
          <w:tcPr>
            <w:tcW w:w="4394" w:type="dxa"/>
            <w:shd w:val="clear" w:color="auto" w:fill="auto"/>
          </w:tcPr>
          <w:p w:rsidR="007D064D" w:rsidRPr="00C43604" w:rsidRDefault="007D064D" w:rsidP="003368E2">
            <w:pPr>
              <w:jc w:val="both"/>
              <w:rPr>
                <w:lang w:val="en-US"/>
              </w:rPr>
            </w:pPr>
            <w:proofErr w:type="spellStart"/>
            <w:r w:rsidRPr="00C43604">
              <w:rPr>
                <w:lang w:val="en-US"/>
              </w:rPr>
              <w:t>Oglekļa</w:t>
            </w:r>
            <w:proofErr w:type="spellEnd"/>
            <w:r w:rsidRPr="00C43604">
              <w:rPr>
                <w:lang w:val="en-US"/>
              </w:rPr>
              <w:t xml:space="preserve"> </w:t>
            </w:r>
            <w:proofErr w:type="spellStart"/>
            <w:r w:rsidRPr="00C43604">
              <w:rPr>
                <w:lang w:val="en-US"/>
              </w:rPr>
              <w:t>dioksīda</w:t>
            </w:r>
            <w:proofErr w:type="spellEnd"/>
            <w:r w:rsidRPr="00C43604">
              <w:rPr>
                <w:lang w:val="en-US"/>
              </w:rPr>
              <w:t xml:space="preserve"> </w:t>
            </w:r>
            <w:proofErr w:type="spellStart"/>
            <w:r w:rsidRPr="00C43604">
              <w:rPr>
                <w:lang w:val="en-US"/>
              </w:rPr>
              <w:t>emisijas</w:t>
            </w:r>
            <w:proofErr w:type="spellEnd"/>
            <w:r w:rsidRPr="00C43604">
              <w:rPr>
                <w:lang w:val="en-US"/>
              </w:rPr>
              <w:t xml:space="preserve"> </w:t>
            </w:r>
            <w:proofErr w:type="spellStart"/>
            <w:r w:rsidRPr="00C43604">
              <w:rPr>
                <w:lang w:val="en-US"/>
              </w:rPr>
              <w:t>samazinājums</w:t>
            </w:r>
            <w:proofErr w:type="spellEnd"/>
            <w:r w:rsidRPr="00C43604">
              <w:rPr>
                <w:lang w:val="en-US"/>
              </w:rPr>
              <w:t xml:space="preserve"> </w:t>
            </w:r>
            <w:proofErr w:type="spellStart"/>
            <w:r w:rsidRPr="00C43604">
              <w:rPr>
                <w:lang w:val="en-US"/>
              </w:rPr>
              <w:t>gadā</w:t>
            </w:r>
            <w:proofErr w:type="spellEnd"/>
          </w:p>
          <w:p w:rsidR="007D064D" w:rsidRPr="00C43604" w:rsidRDefault="007D064D" w:rsidP="003368E2">
            <w:pPr>
              <w:jc w:val="both"/>
              <w:rPr>
                <w:lang w:val="en-US"/>
              </w:rPr>
            </w:pPr>
            <w:r w:rsidRPr="00C43604">
              <w:rPr>
                <w:lang w:val="en-US"/>
              </w:rPr>
              <w:t xml:space="preserve"> (kg CO2/</w:t>
            </w:r>
            <w:proofErr w:type="spellStart"/>
            <w:r w:rsidRPr="00C43604">
              <w:rPr>
                <w:lang w:val="en-US"/>
              </w:rPr>
              <w:t>gadā</w:t>
            </w:r>
            <w:proofErr w:type="spellEnd"/>
            <w:r w:rsidRPr="00C43604">
              <w:rPr>
                <w:lang w:val="en-US"/>
              </w:rPr>
              <w:t>)</w:t>
            </w:r>
          </w:p>
        </w:tc>
        <w:tc>
          <w:tcPr>
            <w:tcW w:w="3934" w:type="dxa"/>
            <w:shd w:val="clear" w:color="auto" w:fill="auto"/>
          </w:tcPr>
          <w:p w:rsidR="007D064D" w:rsidRPr="00C43604" w:rsidRDefault="007D064D" w:rsidP="003368E2">
            <w:pPr>
              <w:jc w:val="both"/>
              <w:rPr>
                <w:lang w:val="en-US"/>
              </w:rPr>
            </w:pPr>
            <w:proofErr w:type="spellStart"/>
            <w:r w:rsidRPr="00C43604">
              <w:rPr>
                <w:lang w:val="en-US"/>
              </w:rPr>
              <w:t>Piegādātās</w:t>
            </w:r>
            <w:proofErr w:type="spellEnd"/>
            <w:r w:rsidRPr="00C43604">
              <w:rPr>
                <w:lang w:val="en-US"/>
              </w:rPr>
              <w:t xml:space="preserve"> </w:t>
            </w:r>
            <w:proofErr w:type="spellStart"/>
            <w:r w:rsidRPr="00C43604">
              <w:rPr>
                <w:lang w:val="en-US"/>
              </w:rPr>
              <w:t>enerģijas</w:t>
            </w:r>
            <w:proofErr w:type="spellEnd"/>
            <w:r w:rsidRPr="00C43604">
              <w:rPr>
                <w:lang w:val="en-US"/>
              </w:rPr>
              <w:t xml:space="preserve"> </w:t>
            </w:r>
            <w:proofErr w:type="spellStart"/>
            <w:r w:rsidRPr="00C43604">
              <w:rPr>
                <w:lang w:val="en-US"/>
              </w:rPr>
              <w:t>ietaupījums</w:t>
            </w:r>
            <w:proofErr w:type="spellEnd"/>
            <w:r w:rsidRPr="00C43604">
              <w:rPr>
                <w:lang w:val="en-US"/>
              </w:rPr>
              <w:t xml:space="preserve"> kWh/ </w:t>
            </w:r>
            <w:proofErr w:type="spellStart"/>
            <w:r w:rsidRPr="00C43604">
              <w:rPr>
                <w:lang w:val="en-US"/>
              </w:rPr>
              <w:t>gadā</w:t>
            </w:r>
            <w:proofErr w:type="spellEnd"/>
          </w:p>
        </w:tc>
      </w:tr>
      <w:tr w:rsidR="007D064D" w:rsidRPr="000804D4" w:rsidTr="003368E2">
        <w:tc>
          <w:tcPr>
            <w:tcW w:w="4394" w:type="dxa"/>
            <w:shd w:val="clear" w:color="auto" w:fill="auto"/>
          </w:tcPr>
          <w:p w:rsidR="007D064D" w:rsidRPr="000804D4" w:rsidRDefault="007D064D" w:rsidP="003368E2">
            <w:pPr>
              <w:jc w:val="both"/>
              <w:rPr>
                <w:lang/>
              </w:rPr>
            </w:pPr>
            <w:r>
              <w:rPr>
                <w:lang/>
              </w:rPr>
              <w:t>170896,01</w:t>
            </w:r>
          </w:p>
        </w:tc>
        <w:tc>
          <w:tcPr>
            <w:tcW w:w="3934" w:type="dxa"/>
            <w:shd w:val="clear" w:color="auto" w:fill="auto"/>
          </w:tcPr>
          <w:p w:rsidR="007D064D" w:rsidRDefault="007D064D" w:rsidP="003368E2">
            <w:pPr>
              <w:jc w:val="both"/>
              <w:rPr>
                <w:lang/>
              </w:rPr>
            </w:pPr>
            <w:r>
              <w:rPr>
                <w:lang/>
              </w:rPr>
              <w:t xml:space="preserve"> 654685,9 kWh/ gadā</w:t>
            </w:r>
          </w:p>
          <w:p w:rsidR="007D064D" w:rsidRPr="000804D4" w:rsidRDefault="007D064D" w:rsidP="003368E2">
            <w:pPr>
              <w:jc w:val="both"/>
              <w:rPr>
                <w:lang/>
              </w:rPr>
            </w:pPr>
            <w:r>
              <w:rPr>
                <w:lang/>
              </w:rPr>
              <w:t xml:space="preserve"> </w:t>
            </w:r>
          </w:p>
        </w:tc>
      </w:tr>
    </w:tbl>
    <w:p w:rsidR="007D064D" w:rsidRDefault="007D064D" w:rsidP="007D064D">
      <w:pPr>
        <w:ind w:left="840"/>
        <w:jc w:val="both"/>
      </w:pPr>
    </w:p>
    <w:p w:rsidR="007D064D" w:rsidRPr="008172D8" w:rsidRDefault="007D064D" w:rsidP="007D064D">
      <w:pPr>
        <w:numPr>
          <w:ilvl w:val="1"/>
          <w:numId w:val="4"/>
        </w:numPr>
        <w:ind w:left="1440" w:hanging="600"/>
        <w:jc w:val="both"/>
      </w:pPr>
      <w:r w:rsidRPr="008172D8">
        <w:t>būvuzraudzības veikšanai piesaistīt atbilstošas kvalifikācijas speciālistus, kas ir kompetenti un sertificēti attiecīgajā jomā un ir iepazinušies ar projekta risinājumiem.</w:t>
      </w:r>
    </w:p>
    <w:p w:rsidR="007D064D" w:rsidRPr="00FD3BCD" w:rsidRDefault="007D064D" w:rsidP="007D064D">
      <w:pPr>
        <w:numPr>
          <w:ilvl w:val="1"/>
          <w:numId w:val="4"/>
        </w:numPr>
        <w:ind w:left="1440" w:hanging="600"/>
        <w:jc w:val="both"/>
      </w:pPr>
      <w:r w:rsidRPr="00FD3BCD">
        <w:t>kontrolēt būvdarbu žurnālā un autoruzraudzības žurnālā ierakstīto norādījumu izpildi;</w:t>
      </w:r>
    </w:p>
    <w:p w:rsidR="007D064D" w:rsidRPr="00FD3BCD" w:rsidRDefault="007D064D" w:rsidP="007D064D">
      <w:pPr>
        <w:numPr>
          <w:ilvl w:val="1"/>
          <w:numId w:val="4"/>
        </w:numPr>
        <w:ind w:left="1440" w:hanging="600"/>
        <w:jc w:val="both"/>
      </w:pPr>
      <w:r w:rsidRPr="00FD3BCD">
        <w:t>nekavējoties izziņot strādājošo evakuāciju no būvlaukuma, ja būvlaukumā konstatētas bīstamas konstrukciju deformācijas vai sabrukšanas pazīmes vai tieši ugunsgrēka izcelšanās vai eksplozijas draudi, un paziņot par to pasūtītājam, būvvaldei, kā arī, ja nepieciešams, izsaukt Valsts ugunsdzēsības un glābšanas dienesta un citu speciālo dienestu pārstāvjus normatīvajos aktos noteiktajā kārtībā. Būvuzraugs rīkojumus un darbības koordinē ar atbildīgo būvdarbu vadītāju;</w:t>
      </w:r>
    </w:p>
    <w:p w:rsidR="007D064D" w:rsidRPr="00FD3BCD" w:rsidRDefault="007D064D" w:rsidP="007D064D">
      <w:pPr>
        <w:numPr>
          <w:ilvl w:val="1"/>
          <w:numId w:val="4"/>
        </w:numPr>
        <w:ind w:left="1440" w:hanging="600"/>
        <w:jc w:val="both"/>
      </w:pPr>
      <w:r w:rsidRPr="00FD3BCD">
        <w:t>sagatavot un iesniegt komisijai, kura pieņem būvi ekspluatācijā, nepieciešamos dokumentus saskaņā ar Latvijas būvnormatīvu LBN 301 “Noteikumi par būvju pieņemšanu ekspluatācijā”;</w:t>
      </w:r>
    </w:p>
    <w:p w:rsidR="007D064D" w:rsidRPr="00FD3BCD" w:rsidRDefault="007D064D" w:rsidP="007D064D">
      <w:pPr>
        <w:numPr>
          <w:ilvl w:val="1"/>
          <w:numId w:val="4"/>
        </w:numPr>
        <w:ind w:left="1440" w:hanging="600"/>
        <w:jc w:val="both"/>
      </w:pPr>
      <w:r w:rsidRPr="00FD3BCD">
        <w:t>piedalīties būvju nodošanā ekspluatācijā;</w:t>
      </w:r>
    </w:p>
    <w:p w:rsidR="007D064D" w:rsidRPr="00FD3BCD" w:rsidRDefault="007D064D" w:rsidP="007D064D">
      <w:pPr>
        <w:numPr>
          <w:ilvl w:val="1"/>
          <w:numId w:val="4"/>
        </w:numPr>
        <w:ind w:left="1440" w:hanging="600"/>
        <w:jc w:val="both"/>
      </w:pPr>
      <w:r w:rsidRPr="00FD3BCD">
        <w:t>Pēc būvdarbu pabeigšanas un objekta nodošanas ekspluatācijā iesniegt pasūtītājam normatīvajos aktos noteikto izpildītā darba dokumentāciju.</w:t>
      </w:r>
    </w:p>
    <w:p w:rsidR="007D064D" w:rsidRDefault="007D064D" w:rsidP="007D064D">
      <w:pPr>
        <w:pStyle w:val="Punkts"/>
        <w:numPr>
          <w:ilvl w:val="0"/>
          <w:numId w:val="0"/>
        </w:numPr>
        <w:jc w:val="center"/>
        <w:rPr>
          <w:rFonts w:ascii="Times New Roman" w:hAnsi="Times New Roman" w:cs="Times New Roman"/>
          <w:sz w:val="24"/>
          <w:szCs w:val="24"/>
        </w:rPr>
      </w:pPr>
    </w:p>
    <w:p w:rsidR="007D064D" w:rsidRPr="00D3289E" w:rsidRDefault="007D064D" w:rsidP="007D064D">
      <w:pPr>
        <w:rPr>
          <w:lang w:val="lv-LV" w:eastAsia="lv-LV"/>
        </w:rPr>
      </w:pPr>
    </w:p>
    <w:p w:rsidR="007D064D" w:rsidRPr="00C43604" w:rsidRDefault="007D064D" w:rsidP="007D064D">
      <w:pPr>
        <w:numPr>
          <w:ilvl w:val="0"/>
          <w:numId w:val="4"/>
        </w:numPr>
        <w:spacing w:before="120"/>
        <w:ind w:left="0" w:firstLine="0"/>
        <w:jc w:val="both"/>
        <w:rPr>
          <w:bCs/>
          <w:lang w:val="en-US"/>
        </w:rPr>
      </w:pPr>
      <w:proofErr w:type="spellStart"/>
      <w:r w:rsidRPr="00C43604">
        <w:rPr>
          <w:b/>
          <w:bCs/>
          <w:lang w:val="en-US"/>
        </w:rPr>
        <w:t>Vispārīga</w:t>
      </w:r>
      <w:proofErr w:type="spellEnd"/>
      <w:r w:rsidRPr="00C43604">
        <w:rPr>
          <w:b/>
          <w:bCs/>
          <w:lang w:val="en-US"/>
        </w:rPr>
        <w:t xml:space="preserve"> </w:t>
      </w:r>
      <w:proofErr w:type="spellStart"/>
      <w:r w:rsidRPr="00C43604">
        <w:rPr>
          <w:b/>
          <w:bCs/>
          <w:lang w:val="en-US"/>
        </w:rPr>
        <w:t>informācija</w:t>
      </w:r>
      <w:proofErr w:type="spellEnd"/>
      <w:r w:rsidRPr="00C43604">
        <w:rPr>
          <w:b/>
          <w:bCs/>
          <w:lang w:val="en-US"/>
        </w:rPr>
        <w:t xml:space="preserve"> par </w:t>
      </w:r>
      <w:proofErr w:type="spellStart"/>
      <w:r w:rsidRPr="00C43604">
        <w:rPr>
          <w:b/>
          <w:bCs/>
          <w:lang w:val="en-US"/>
        </w:rPr>
        <w:t>plānotajiem</w:t>
      </w:r>
      <w:proofErr w:type="spellEnd"/>
      <w:r w:rsidRPr="00C43604">
        <w:rPr>
          <w:b/>
          <w:bCs/>
          <w:lang w:val="en-US"/>
        </w:rPr>
        <w:t xml:space="preserve"> </w:t>
      </w:r>
      <w:proofErr w:type="spellStart"/>
      <w:r w:rsidRPr="00C43604">
        <w:rPr>
          <w:b/>
          <w:bCs/>
          <w:lang w:val="en-US"/>
        </w:rPr>
        <w:t>būvdarbiem</w:t>
      </w:r>
      <w:proofErr w:type="spellEnd"/>
      <w:r>
        <w:rPr>
          <w:b/>
          <w:bCs/>
          <w:lang w:val="lv-LV"/>
        </w:rPr>
        <w:t xml:space="preserve">, </w:t>
      </w:r>
      <w:r w:rsidRPr="000C3656">
        <w:rPr>
          <w:bCs/>
          <w:lang w:val="lv-LV"/>
        </w:rPr>
        <w:t>kurai ir informatīvs raksturs</w:t>
      </w:r>
      <w:r w:rsidRPr="00C43604">
        <w:rPr>
          <w:bCs/>
          <w:lang w:val="en-US"/>
        </w:rPr>
        <w:t xml:space="preserve">: </w:t>
      </w:r>
    </w:p>
    <w:p w:rsidR="007D064D" w:rsidRPr="00BC75BE" w:rsidRDefault="007D064D" w:rsidP="007D064D">
      <w:pPr>
        <w:pStyle w:val="Punkts"/>
        <w:numPr>
          <w:ilvl w:val="0"/>
          <w:numId w:val="0"/>
        </w:numPr>
        <w:ind w:left="851"/>
        <w:rPr>
          <w:rFonts w:ascii="Times New Roman" w:hAnsi="Times New Roman" w:cs="Times New Roman"/>
          <w:sz w:val="24"/>
          <w:szCs w:val="24"/>
        </w:rPr>
      </w:pPr>
    </w:p>
    <w:p w:rsidR="007D064D" w:rsidRPr="00550682" w:rsidRDefault="007D064D" w:rsidP="007D064D">
      <w:pPr>
        <w:pStyle w:val="Punkts"/>
        <w:numPr>
          <w:ilvl w:val="0"/>
          <w:numId w:val="0"/>
        </w:numPr>
        <w:ind w:left="851"/>
        <w:rPr>
          <w:rFonts w:ascii="Times New Roman" w:hAnsi="Times New Roman" w:cs="Times New Roman"/>
          <w:sz w:val="24"/>
          <w:szCs w:val="24"/>
        </w:rPr>
      </w:pPr>
      <w:r w:rsidRPr="00550682">
        <w:rPr>
          <w:rFonts w:ascii="Times New Roman" w:hAnsi="Times New Roman" w:cs="Times New Roman"/>
          <w:b w:val="0"/>
          <w:sz w:val="24"/>
          <w:szCs w:val="24"/>
        </w:rPr>
        <w:t xml:space="preserve">Darbu apjomi, </w:t>
      </w:r>
      <w:r w:rsidRPr="00550682">
        <w:rPr>
          <w:rFonts w:ascii="Times New Roman" w:hAnsi="Times New Roman" w:cs="Times New Roman"/>
          <w:sz w:val="24"/>
          <w:szCs w:val="24"/>
        </w:rPr>
        <w:t xml:space="preserve"> </w:t>
      </w:r>
      <w:r w:rsidRPr="00550682">
        <w:rPr>
          <w:rFonts w:ascii="Times New Roman" w:hAnsi="Times New Roman" w:cs="Times New Roman"/>
          <w:b w:val="0"/>
          <w:sz w:val="24"/>
          <w:szCs w:val="24"/>
        </w:rPr>
        <w:t xml:space="preserve">Paskaidrojuma raksts, </w:t>
      </w:r>
      <w:r w:rsidRPr="00550682">
        <w:rPr>
          <w:rFonts w:ascii="Times New Roman" w:hAnsi="Times New Roman" w:cs="Times New Roman"/>
          <w:sz w:val="24"/>
          <w:szCs w:val="24"/>
        </w:rPr>
        <w:t xml:space="preserve"> </w:t>
      </w:r>
      <w:r w:rsidRPr="00550682">
        <w:rPr>
          <w:rFonts w:ascii="Times New Roman" w:hAnsi="Times New Roman" w:cs="Times New Roman"/>
          <w:b w:val="0"/>
          <w:sz w:val="24"/>
          <w:szCs w:val="24"/>
        </w:rPr>
        <w:t>Tehniskais projekts</w:t>
      </w:r>
      <w:r w:rsidRPr="00550682">
        <w:rPr>
          <w:rFonts w:ascii="Times New Roman" w:hAnsi="Times New Roman" w:cs="Times New Roman"/>
          <w:sz w:val="24"/>
          <w:szCs w:val="24"/>
        </w:rPr>
        <w:t xml:space="preserve"> </w:t>
      </w:r>
      <w:r w:rsidRPr="00550682">
        <w:rPr>
          <w:rFonts w:ascii="Times New Roman" w:hAnsi="Times New Roman" w:cs="Times New Roman"/>
          <w:b w:val="0"/>
          <w:sz w:val="24"/>
          <w:szCs w:val="24"/>
        </w:rPr>
        <w:t xml:space="preserve">skatāmi Ilūkstes novada pašvaldības mājas lapā </w:t>
      </w:r>
      <w:r w:rsidRPr="00550682">
        <w:rPr>
          <w:rFonts w:ascii="Times New Roman" w:hAnsi="Times New Roman" w:cs="Times New Roman"/>
          <w:b w:val="0"/>
          <w:sz w:val="24"/>
          <w:szCs w:val="24"/>
        </w:rPr>
        <w:fldChar w:fldCharType="begin"/>
      </w:r>
      <w:r w:rsidRPr="00550682">
        <w:rPr>
          <w:rFonts w:ascii="Times New Roman" w:hAnsi="Times New Roman" w:cs="Times New Roman"/>
          <w:b w:val="0"/>
          <w:sz w:val="24"/>
          <w:szCs w:val="24"/>
        </w:rPr>
        <w:instrText xml:space="preserve"> HYPERLINK "http://www.ilukste.lv" </w:instrText>
      </w:r>
      <w:r w:rsidRPr="00550682">
        <w:rPr>
          <w:rFonts w:ascii="Times New Roman" w:hAnsi="Times New Roman" w:cs="Times New Roman"/>
          <w:b w:val="0"/>
          <w:sz w:val="24"/>
          <w:szCs w:val="24"/>
        </w:rPr>
        <w:fldChar w:fldCharType="separate"/>
      </w:r>
      <w:r w:rsidRPr="00550682">
        <w:rPr>
          <w:rStyle w:val="Hyperlink"/>
          <w:rFonts w:ascii="Times New Roman" w:hAnsi="Times New Roman"/>
          <w:b w:val="0"/>
          <w:szCs w:val="24"/>
        </w:rPr>
        <w:t>www.ilukste.lv</w:t>
      </w:r>
      <w:r w:rsidRPr="00550682">
        <w:rPr>
          <w:rFonts w:ascii="Times New Roman" w:hAnsi="Times New Roman" w:cs="Times New Roman"/>
          <w:b w:val="0"/>
          <w:sz w:val="24"/>
          <w:szCs w:val="24"/>
        </w:rPr>
        <w:fldChar w:fldCharType="end"/>
      </w:r>
      <w:r w:rsidRPr="00550682">
        <w:rPr>
          <w:rFonts w:ascii="Times New Roman" w:hAnsi="Times New Roman" w:cs="Times New Roman"/>
          <w:b w:val="0"/>
          <w:sz w:val="24"/>
          <w:szCs w:val="24"/>
        </w:rPr>
        <w:t xml:space="preserve"> sadaļā „iepirkum</w:t>
      </w:r>
      <w:r>
        <w:rPr>
          <w:rFonts w:ascii="Times New Roman" w:hAnsi="Times New Roman" w:cs="Times New Roman"/>
          <w:b w:val="0"/>
          <w:sz w:val="24"/>
          <w:szCs w:val="24"/>
        </w:rPr>
        <w:t>i</w:t>
      </w:r>
      <w:r w:rsidRPr="00550682">
        <w:rPr>
          <w:rFonts w:ascii="Times New Roman" w:hAnsi="Times New Roman" w:cs="Times New Roman"/>
          <w:b w:val="0"/>
          <w:sz w:val="24"/>
          <w:szCs w:val="24"/>
        </w:rPr>
        <w:t>”</w:t>
      </w:r>
      <w:r>
        <w:rPr>
          <w:rFonts w:ascii="Times New Roman" w:hAnsi="Times New Roman" w:cs="Times New Roman"/>
          <w:b w:val="0"/>
          <w:sz w:val="24"/>
          <w:szCs w:val="24"/>
        </w:rPr>
        <w:t xml:space="preserve">, </w:t>
      </w:r>
      <w:r w:rsidRPr="00550682">
        <w:rPr>
          <w:rFonts w:ascii="Times New Roman" w:hAnsi="Times New Roman" w:cs="Times New Roman"/>
          <w:sz w:val="24"/>
          <w:szCs w:val="24"/>
        </w:rPr>
        <w:t xml:space="preserve"> „Kompleksi risinājumi siltumnīcefekta gāzu emisijas samazināšanai Ilūkstes novada kultūras centrā”, id.Nr. „INP 2014/15 KPFI”</w:t>
      </w:r>
    </w:p>
    <w:p w:rsidR="007D064D" w:rsidRPr="00550682" w:rsidRDefault="007D064D" w:rsidP="007D064D">
      <w:pPr>
        <w:rPr>
          <w:lang w:val="lv-LV" w:eastAsia="lv-LV"/>
        </w:rPr>
      </w:pPr>
    </w:p>
    <w:p w:rsidR="007D064D" w:rsidRPr="00550682" w:rsidRDefault="007D064D" w:rsidP="007D064D">
      <w:pPr>
        <w:rPr>
          <w:lang w:val="lv-LV" w:eastAsia="lv-LV"/>
        </w:rPr>
      </w:pPr>
    </w:p>
    <w:p w:rsidR="007D064D" w:rsidRPr="00FD3BCD" w:rsidRDefault="007D064D" w:rsidP="007D064D">
      <w:pPr>
        <w:numPr>
          <w:ilvl w:val="0"/>
          <w:numId w:val="4"/>
        </w:numPr>
        <w:spacing w:before="120"/>
        <w:ind w:left="0" w:firstLine="0"/>
        <w:jc w:val="both"/>
        <w:rPr>
          <w:b/>
          <w:bCs/>
        </w:rPr>
      </w:pPr>
      <w:r w:rsidRPr="00FD3BCD">
        <w:rPr>
          <w:b/>
          <w:bCs/>
        </w:rPr>
        <w:t>Plānotais laika grafiks</w:t>
      </w:r>
    </w:p>
    <w:p w:rsidR="007D064D" w:rsidRPr="00FD3BCD" w:rsidRDefault="007D064D" w:rsidP="007D064D">
      <w:pPr>
        <w:ind w:left="720"/>
        <w:jc w:val="both"/>
      </w:pPr>
      <w:r w:rsidRPr="00323237">
        <w:t>Izpildītājam</w:t>
      </w:r>
      <w:r w:rsidRPr="00FD3BCD">
        <w:t xml:space="preserve"> jāuzsāk savu pienākumu īstenošana </w:t>
      </w:r>
      <w:r w:rsidRPr="00420B92">
        <w:rPr>
          <w:color w:val="000000"/>
          <w:lang w:val="lv-LV"/>
        </w:rPr>
        <w:t>pirms būvdarbu uzsākšanas</w:t>
      </w:r>
      <w:r>
        <w:t>.</w:t>
      </w:r>
      <w:r w:rsidRPr="00FD3BCD">
        <w:t xml:space="preserve"> </w:t>
      </w:r>
    </w:p>
    <w:p w:rsidR="007D064D" w:rsidRPr="00FD3BCD" w:rsidRDefault="007D064D" w:rsidP="007D064D">
      <w:pPr>
        <w:ind w:left="720"/>
        <w:jc w:val="both"/>
      </w:pPr>
      <w:r>
        <w:t>Plānotais būvdarbu izpildes termiņš –</w:t>
      </w:r>
      <w:r>
        <w:rPr>
          <w:lang w:val="lv-LV"/>
        </w:rPr>
        <w:t xml:space="preserve"> </w:t>
      </w:r>
      <w:r>
        <w:t>201</w:t>
      </w:r>
      <w:r>
        <w:rPr>
          <w:lang w:val="lv-LV"/>
        </w:rPr>
        <w:t>4</w:t>
      </w:r>
      <w:r>
        <w:t xml:space="preserve">. </w:t>
      </w:r>
      <w:r>
        <w:rPr>
          <w:lang w:val="lv-LV"/>
        </w:rPr>
        <w:t>g</w:t>
      </w:r>
      <w:r>
        <w:t>ada</w:t>
      </w:r>
      <w:r>
        <w:rPr>
          <w:lang w:val="lv-LV"/>
        </w:rPr>
        <w:t xml:space="preserve"> 31.decembris</w:t>
      </w:r>
      <w:r>
        <w:t>.</w:t>
      </w:r>
      <w:r w:rsidRPr="00FD3BCD">
        <w:t xml:space="preserve"> Gadījumā, </w:t>
      </w:r>
      <w:r>
        <w:rPr>
          <w:lang w:val="lv-LV"/>
        </w:rPr>
        <w:t>ja ievērojot nolikuma 2.3.1 punktā noteikto,</w:t>
      </w:r>
      <w:r w:rsidRPr="00FD3BCD">
        <w:t xml:space="preserve"> </w:t>
      </w:r>
      <w:r>
        <w:rPr>
          <w:lang w:val="lv-LV"/>
        </w:rPr>
        <w:t xml:space="preserve">tiks pagarināts </w:t>
      </w:r>
      <w:r w:rsidRPr="00FD3BCD">
        <w:t>būvdarbu līgum</w:t>
      </w:r>
      <w:r>
        <w:t>a</w:t>
      </w:r>
      <w:r w:rsidRPr="00FD3BCD">
        <w:t xml:space="preserve"> izpilde</w:t>
      </w:r>
      <w:r>
        <w:rPr>
          <w:lang w:val="lv-LV"/>
        </w:rPr>
        <w:t xml:space="preserve">s termiņš, tiks pagarināts arī </w:t>
      </w:r>
      <w:r w:rsidRPr="00FD3BCD">
        <w:t>pakalpojuma līguma izpildes termiņš, nemainot noteikto līguma</w:t>
      </w:r>
      <w:r>
        <w:rPr>
          <w:lang w:val="lv-LV"/>
        </w:rPr>
        <w:t xml:space="preserve"> cenu</w:t>
      </w:r>
      <w:r w:rsidRPr="00FD3BCD">
        <w:t>.</w:t>
      </w:r>
    </w:p>
    <w:p w:rsidR="007D064D" w:rsidRPr="00FD3BCD" w:rsidRDefault="007D064D" w:rsidP="007D064D">
      <w:pPr>
        <w:ind w:left="720"/>
        <w:jc w:val="both"/>
        <w:rPr>
          <w:b/>
          <w:bCs/>
          <w:highlight w:val="yellow"/>
        </w:rPr>
      </w:pPr>
    </w:p>
    <w:p w:rsidR="007D064D" w:rsidRPr="00FD3BCD" w:rsidRDefault="007D064D" w:rsidP="007D064D">
      <w:pPr>
        <w:numPr>
          <w:ilvl w:val="0"/>
          <w:numId w:val="4"/>
        </w:numPr>
        <w:spacing w:before="120"/>
        <w:ind w:left="0" w:firstLine="0"/>
        <w:jc w:val="both"/>
        <w:rPr>
          <w:b/>
          <w:bCs/>
        </w:rPr>
      </w:pPr>
      <w:r w:rsidRPr="00FD3BCD">
        <w:rPr>
          <w:b/>
          <w:bCs/>
        </w:rPr>
        <w:t>Pieņēmumi un riski</w:t>
      </w:r>
    </w:p>
    <w:p w:rsidR="007D064D" w:rsidRPr="00FD3BCD" w:rsidRDefault="007D064D" w:rsidP="007D064D"/>
    <w:p w:rsidR="007D064D" w:rsidRPr="00164686" w:rsidRDefault="007D064D" w:rsidP="007D064D">
      <w:pPr>
        <w:ind w:left="993"/>
        <w:jc w:val="both"/>
        <w:rPr>
          <w:iCs/>
        </w:rPr>
      </w:pPr>
      <w:bookmarkStart w:id="0" w:name="_Toc260143082"/>
      <w:bookmarkStart w:id="1" w:name="_Toc260143208"/>
      <w:r w:rsidRPr="00BC75BE">
        <w:rPr>
          <w:iCs/>
        </w:rPr>
        <w:t xml:space="preserve">8.1. </w:t>
      </w:r>
      <w:bookmarkStart w:id="2" w:name="_Toc260143083"/>
      <w:bookmarkStart w:id="3" w:name="_Toc260143209"/>
      <w:bookmarkEnd w:id="0"/>
      <w:bookmarkEnd w:id="1"/>
      <w:r w:rsidRPr="00164686">
        <w:rPr>
          <w:iCs/>
        </w:rPr>
        <w:t>Riski</w:t>
      </w:r>
      <w:bookmarkEnd w:id="2"/>
      <w:bookmarkEnd w:id="3"/>
    </w:p>
    <w:p w:rsidR="007D064D" w:rsidRPr="001260B1" w:rsidRDefault="007D064D" w:rsidP="007D064D">
      <w:pPr>
        <w:pStyle w:val="Text2"/>
        <w:spacing w:after="60"/>
        <w:ind w:left="1418"/>
        <w:rPr>
          <w:lang w:val="lv-LV"/>
        </w:rPr>
      </w:pPr>
      <w:bookmarkStart w:id="4" w:name="OLE_LINK1"/>
      <w:r w:rsidRPr="001260B1">
        <w:rPr>
          <w:lang w:val="lv-LV"/>
        </w:rPr>
        <w:t>Izpildītājam riski jāņem vērā sagatavojot piedāvājumu. Kāda no šo risku spēkā stāšanās gadījumā būvuzraudzības līguma cena netiks mainīta:</w:t>
      </w:r>
    </w:p>
    <w:p w:rsidR="007D064D" w:rsidRPr="00C43604" w:rsidRDefault="007D064D" w:rsidP="007D064D">
      <w:pPr>
        <w:numPr>
          <w:ilvl w:val="0"/>
          <w:numId w:val="3"/>
        </w:numPr>
        <w:spacing w:after="60"/>
        <w:jc w:val="both"/>
        <w:rPr>
          <w:lang w:val="lv-LV"/>
        </w:rPr>
      </w:pPr>
      <w:r w:rsidRPr="00C43604">
        <w:rPr>
          <w:lang w:val="lv-LV"/>
        </w:rPr>
        <w:t xml:space="preserve">būvdarbu līguma izpildē var būt iekšējas nobīdes no plānotā laika grafika sakarā ar iepriekš neparedzētiem apstākļiem. </w:t>
      </w:r>
    </w:p>
    <w:p w:rsidR="007D064D" w:rsidRPr="00C43604" w:rsidRDefault="007D064D" w:rsidP="007D064D">
      <w:pPr>
        <w:numPr>
          <w:ilvl w:val="0"/>
          <w:numId w:val="3"/>
        </w:numPr>
        <w:spacing w:after="60"/>
        <w:jc w:val="both"/>
        <w:rPr>
          <w:lang w:val="en-US"/>
        </w:rPr>
      </w:pPr>
      <w:proofErr w:type="spellStart"/>
      <w:proofErr w:type="gramStart"/>
      <w:r w:rsidRPr="00C43604">
        <w:rPr>
          <w:lang w:val="en-US"/>
        </w:rPr>
        <w:t>noteiktie</w:t>
      </w:r>
      <w:proofErr w:type="spellEnd"/>
      <w:proofErr w:type="gramEnd"/>
      <w:r w:rsidRPr="00C43604">
        <w:rPr>
          <w:lang w:val="en-US"/>
        </w:rPr>
        <w:t xml:space="preserve"> </w:t>
      </w:r>
      <w:proofErr w:type="spellStart"/>
      <w:r w:rsidRPr="00C43604">
        <w:rPr>
          <w:lang w:val="en-US"/>
        </w:rPr>
        <w:t>būvdarbu</w:t>
      </w:r>
      <w:proofErr w:type="spellEnd"/>
      <w:r w:rsidRPr="00C43604">
        <w:rPr>
          <w:lang w:val="en-US"/>
        </w:rPr>
        <w:t xml:space="preserve"> </w:t>
      </w:r>
      <w:proofErr w:type="spellStart"/>
      <w:r w:rsidRPr="00C43604">
        <w:rPr>
          <w:lang w:val="en-US"/>
        </w:rPr>
        <w:t>apjomi</w:t>
      </w:r>
      <w:proofErr w:type="spellEnd"/>
      <w:r w:rsidRPr="00C43604">
        <w:rPr>
          <w:lang w:val="en-US"/>
        </w:rPr>
        <w:t xml:space="preserve"> </w:t>
      </w:r>
      <w:proofErr w:type="spellStart"/>
      <w:r w:rsidRPr="00C43604">
        <w:rPr>
          <w:lang w:val="en-US"/>
        </w:rPr>
        <w:t>var</w:t>
      </w:r>
      <w:proofErr w:type="spellEnd"/>
      <w:r w:rsidRPr="00C43604">
        <w:rPr>
          <w:lang w:val="en-US"/>
        </w:rPr>
        <w:t xml:space="preserve"> </w:t>
      </w:r>
      <w:proofErr w:type="spellStart"/>
      <w:r w:rsidRPr="00C43604">
        <w:rPr>
          <w:lang w:val="en-US"/>
        </w:rPr>
        <w:t>mainīties</w:t>
      </w:r>
      <w:proofErr w:type="spellEnd"/>
      <w:r w:rsidRPr="00C43604">
        <w:rPr>
          <w:lang w:val="en-US"/>
        </w:rPr>
        <w:t xml:space="preserve"> </w:t>
      </w:r>
      <w:proofErr w:type="spellStart"/>
      <w:r w:rsidRPr="00C43604">
        <w:rPr>
          <w:lang w:val="en-US"/>
        </w:rPr>
        <w:t>būvobjekta</w:t>
      </w:r>
      <w:proofErr w:type="spellEnd"/>
      <w:r w:rsidRPr="00C43604">
        <w:rPr>
          <w:lang w:val="en-US"/>
        </w:rPr>
        <w:t xml:space="preserve"> </w:t>
      </w:r>
      <w:proofErr w:type="spellStart"/>
      <w:r w:rsidRPr="00C43604">
        <w:rPr>
          <w:lang w:val="en-US"/>
        </w:rPr>
        <w:t>realizācijas</w:t>
      </w:r>
      <w:proofErr w:type="spellEnd"/>
      <w:r w:rsidRPr="00C43604">
        <w:rPr>
          <w:lang w:val="en-US"/>
        </w:rPr>
        <w:t xml:space="preserve"> </w:t>
      </w:r>
      <w:proofErr w:type="spellStart"/>
      <w:r w:rsidRPr="00C43604">
        <w:rPr>
          <w:lang w:val="en-US"/>
        </w:rPr>
        <w:t>laikā</w:t>
      </w:r>
      <w:proofErr w:type="spellEnd"/>
      <w:r w:rsidRPr="00C43604">
        <w:rPr>
          <w:lang w:val="en-US"/>
        </w:rPr>
        <w:t xml:space="preserve">. </w:t>
      </w:r>
    </w:p>
    <w:p w:rsidR="007D064D" w:rsidRPr="00C43604" w:rsidRDefault="007D064D" w:rsidP="007D064D">
      <w:pPr>
        <w:numPr>
          <w:ilvl w:val="0"/>
          <w:numId w:val="3"/>
        </w:numPr>
        <w:spacing w:after="60"/>
        <w:jc w:val="both"/>
        <w:rPr>
          <w:lang w:val="en-US"/>
        </w:rPr>
      </w:pPr>
      <w:proofErr w:type="spellStart"/>
      <w:r w:rsidRPr="00C43604">
        <w:rPr>
          <w:lang w:val="en-US"/>
        </w:rPr>
        <w:t>Sakarā</w:t>
      </w:r>
      <w:proofErr w:type="spellEnd"/>
      <w:r w:rsidRPr="00C43604">
        <w:rPr>
          <w:lang w:val="en-US"/>
        </w:rPr>
        <w:t xml:space="preserve"> </w:t>
      </w:r>
      <w:proofErr w:type="spellStart"/>
      <w:r w:rsidRPr="00C43604">
        <w:rPr>
          <w:lang w:val="en-US"/>
        </w:rPr>
        <w:t>ar</w:t>
      </w:r>
      <w:proofErr w:type="spellEnd"/>
      <w:r w:rsidRPr="00C43604">
        <w:rPr>
          <w:lang w:val="en-US"/>
        </w:rPr>
        <w:t xml:space="preserve"> </w:t>
      </w:r>
      <w:proofErr w:type="spellStart"/>
      <w:r w:rsidRPr="00C43604">
        <w:rPr>
          <w:lang w:val="en-US"/>
        </w:rPr>
        <w:t>izmaiņām</w:t>
      </w:r>
      <w:proofErr w:type="spellEnd"/>
      <w:r w:rsidRPr="00C43604">
        <w:rPr>
          <w:lang w:val="en-US"/>
        </w:rPr>
        <w:t xml:space="preserve"> </w:t>
      </w:r>
      <w:proofErr w:type="spellStart"/>
      <w:r w:rsidRPr="00C43604">
        <w:rPr>
          <w:lang w:val="en-US"/>
        </w:rPr>
        <w:t>normatīvajos</w:t>
      </w:r>
      <w:proofErr w:type="spellEnd"/>
      <w:r w:rsidRPr="00C43604">
        <w:rPr>
          <w:lang w:val="en-US"/>
        </w:rPr>
        <w:t xml:space="preserve"> </w:t>
      </w:r>
      <w:proofErr w:type="spellStart"/>
      <w:r w:rsidRPr="00C43604">
        <w:rPr>
          <w:lang w:val="en-US"/>
        </w:rPr>
        <w:t>aktos</w:t>
      </w:r>
      <w:proofErr w:type="spellEnd"/>
      <w:r w:rsidRPr="00C43604">
        <w:rPr>
          <w:lang w:val="en-US"/>
        </w:rPr>
        <w:t xml:space="preserve"> </w:t>
      </w:r>
      <w:proofErr w:type="spellStart"/>
      <w:r w:rsidRPr="00C43604">
        <w:rPr>
          <w:lang w:val="en-US"/>
        </w:rPr>
        <w:t>var</w:t>
      </w:r>
      <w:proofErr w:type="spellEnd"/>
      <w:r w:rsidRPr="00C43604">
        <w:rPr>
          <w:lang w:val="en-US"/>
        </w:rPr>
        <w:t xml:space="preserve"> </w:t>
      </w:r>
      <w:proofErr w:type="spellStart"/>
      <w:r w:rsidRPr="00C43604">
        <w:rPr>
          <w:lang w:val="en-US"/>
        </w:rPr>
        <w:t>būt</w:t>
      </w:r>
      <w:proofErr w:type="spellEnd"/>
      <w:r w:rsidRPr="00C43604">
        <w:rPr>
          <w:lang w:val="en-US"/>
        </w:rPr>
        <w:t xml:space="preserve"> </w:t>
      </w:r>
      <w:proofErr w:type="spellStart"/>
      <w:r w:rsidRPr="00C43604">
        <w:rPr>
          <w:lang w:val="en-US"/>
        </w:rPr>
        <w:t>nepieciešamas</w:t>
      </w:r>
      <w:proofErr w:type="spellEnd"/>
      <w:r w:rsidRPr="00C43604">
        <w:rPr>
          <w:lang w:val="en-US"/>
        </w:rPr>
        <w:t xml:space="preserve"> </w:t>
      </w:r>
      <w:proofErr w:type="spellStart"/>
      <w:r w:rsidRPr="00C43604">
        <w:rPr>
          <w:lang w:val="en-US"/>
        </w:rPr>
        <w:t>izmaiņas</w:t>
      </w:r>
      <w:proofErr w:type="spellEnd"/>
      <w:r w:rsidRPr="00C43604">
        <w:rPr>
          <w:lang w:val="en-US"/>
        </w:rPr>
        <w:t xml:space="preserve"> </w:t>
      </w:r>
      <w:proofErr w:type="spellStart"/>
      <w:r w:rsidRPr="00C43604">
        <w:rPr>
          <w:lang w:val="en-US"/>
        </w:rPr>
        <w:t>izvēlētajās</w:t>
      </w:r>
      <w:proofErr w:type="spellEnd"/>
      <w:r w:rsidRPr="00C43604">
        <w:rPr>
          <w:lang w:val="en-US"/>
        </w:rPr>
        <w:t xml:space="preserve"> </w:t>
      </w:r>
      <w:proofErr w:type="spellStart"/>
      <w:r w:rsidRPr="00C43604">
        <w:rPr>
          <w:lang w:val="en-US"/>
        </w:rPr>
        <w:t>būvdarbu</w:t>
      </w:r>
      <w:proofErr w:type="spellEnd"/>
      <w:r w:rsidRPr="00C43604">
        <w:rPr>
          <w:lang w:val="en-US"/>
        </w:rPr>
        <w:t xml:space="preserve"> </w:t>
      </w:r>
      <w:proofErr w:type="spellStart"/>
      <w:r w:rsidRPr="00C43604">
        <w:rPr>
          <w:lang w:val="en-US"/>
        </w:rPr>
        <w:t>metodēs</w:t>
      </w:r>
      <w:proofErr w:type="spellEnd"/>
      <w:r w:rsidRPr="00C43604">
        <w:rPr>
          <w:lang w:val="en-US"/>
        </w:rPr>
        <w:t xml:space="preserve"> </w:t>
      </w:r>
      <w:proofErr w:type="spellStart"/>
      <w:r w:rsidRPr="00C43604">
        <w:rPr>
          <w:lang w:val="en-US"/>
        </w:rPr>
        <w:t>vai</w:t>
      </w:r>
      <w:proofErr w:type="spellEnd"/>
      <w:r w:rsidRPr="00C43604">
        <w:rPr>
          <w:lang w:val="en-US"/>
        </w:rPr>
        <w:t xml:space="preserve"> </w:t>
      </w:r>
      <w:proofErr w:type="spellStart"/>
      <w:r w:rsidRPr="00C43604">
        <w:rPr>
          <w:lang w:val="en-US"/>
        </w:rPr>
        <w:t>iekārtu</w:t>
      </w:r>
      <w:proofErr w:type="spellEnd"/>
      <w:r w:rsidRPr="00C43604">
        <w:rPr>
          <w:lang w:val="en-US"/>
        </w:rPr>
        <w:t xml:space="preserve"> </w:t>
      </w:r>
      <w:proofErr w:type="spellStart"/>
      <w:r w:rsidRPr="00C43604">
        <w:rPr>
          <w:lang w:val="en-US"/>
        </w:rPr>
        <w:t>specifikācijās</w:t>
      </w:r>
      <w:proofErr w:type="spellEnd"/>
      <w:r w:rsidRPr="00C43604">
        <w:rPr>
          <w:lang w:val="en-US"/>
        </w:rPr>
        <w:t xml:space="preserve">, </w:t>
      </w:r>
      <w:proofErr w:type="spellStart"/>
      <w:r w:rsidRPr="00C43604">
        <w:rPr>
          <w:lang w:val="en-US"/>
        </w:rPr>
        <w:t>kā</w:t>
      </w:r>
      <w:proofErr w:type="spellEnd"/>
      <w:r w:rsidRPr="00C43604">
        <w:rPr>
          <w:lang w:val="en-US"/>
        </w:rPr>
        <w:t xml:space="preserve"> </w:t>
      </w:r>
      <w:proofErr w:type="spellStart"/>
      <w:r w:rsidRPr="00C43604">
        <w:rPr>
          <w:lang w:val="en-US"/>
        </w:rPr>
        <w:t>arī</w:t>
      </w:r>
      <w:proofErr w:type="spellEnd"/>
      <w:r w:rsidRPr="00C43604">
        <w:rPr>
          <w:lang w:val="en-US"/>
        </w:rPr>
        <w:t xml:space="preserve"> </w:t>
      </w:r>
      <w:proofErr w:type="spellStart"/>
      <w:r w:rsidRPr="00C43604">
        <w:rPr>
          <w:lang w:val="en-US"/>
        </w:rPr>
        <w:t>publisko</w:t>
      </w:r>
      <w:proofErr w:type="spellEnd"/>
      <w:r w:rsidRPr="00C43604">
        <w:rPr>
          <w:lang w:val="en-US"/>
        </w:rPr>
        <w:t xml:space="preserve"> </w:t>
      </w:r>
      <w:proofErr w:type="spellStart"/>
      <w:r w:rsidRPr="00C43604">
        <w:rPr>
          <w:lang w:val="en-US"/>
        </w:rPr>
        <w:t>iepirkumu</w:t>
      </w:r>
      <w:proofErr w:type="spellEnd"/>
      <w:r w:rsidRPr="00C43604">
        <w:rPr>
          <w:lang w:val="en-US"/>
        </w:rPr>
        <w:t xml:space="preserve"> </w:t>
      </w:r>
      <w:proofErr w:type="spellStart"/>
      <w:r w:rsidRPr="00C43604">
        <w:rPr>
          <w:lang w:val="en-US"/>
        </w:rPr>
        <w:t>reglamentējošos</w:t>
      </w:r>
      <w:proofErr w:type="spellEnd"/>
      <w:r w:rsidRPr="00C43604">
        <w:rPr>
          <w:lang w:val="en-US"/>
        </w:rPr>
        <w:t xml:space="preserve"> </w:t>
      </w:r>
      <w:proofErr w:type="spellStart"/>
      <w:r w:rsidRPr="00C43604">
        <w:rPr>
          <w:lang w:val="en-US"/>
        </w:rPr>
        <w:t>jautājumos</w:t>
      </w:r>
      <w:proofErr w:type="spellEnd"/>
      <w:r w:rsidRPr="00C43604">
        <w:rPr>
          <w:lang w:val="en-US"/>
        </w:rPr>
        <w:t xml:space="preserve">. </w:t>
      </w:r>
      <w:bookmarkEnd w:id="4"/>
    </w:p>
    <w:p w:rsidR="007D064D" w:rsidRDefault="007D064D" w:rsidP="007D064D">
      <w:pPr>
        <w:rPr>
          <w:sz w:val="28"/>
          <w:szCs w:val="28"/>
          <w:lang w:val="lv-LV"/>
        </w:rPr>
      </w:pPr>
    </w:p>
    <w:p w:rsidR="007D064D" w:rsidRDefault="007D064D" w:rsidP="007D064D">
      <w:pPr>
        <w:rPr>
          <w:lang w:val="lv-LV"/>
        </w:rPr>
      </w:pPr>
    </w:p>
    <w:p w:rsidR="007D064D" w:rsidRPr="00AF081D" w:rsidRDefault="007D064D" w:rsidP="007D064D">
      <w:pPr>
        <w:rPr>
          <w:lang w:val="lv-LV"/>
        </w:rPr>
      </w:pPr>
    </w:p>
    <w:p w:rsidR="007D064D" w:rsidRPr="00AF081D" w:rsidRDefault="007D064D" w:rsidP="007D064D">
      <w:pPr>
        <w:rPr>
          <w:lang w:val="lv-LV"/>
        </w:rPr>
      </w:pPr>
    </w:p>
    <w:p w:rsidR="007D064D" w:rsidRPr="00AF081D" w:rsidRDefault="007D064D" w:rsidP="007D064D">
      <w:pPr>
        <w:jc w:val="both"/>
        <w:rPr>
          <w:color w:val="FF0000"/>
          <w:lang w:val="lv-LV"/>
        </w:rPr>
      </w:pPr>
    </w:p>
    <w:tbl>
      <w:tblPr>
        <w:tblW w:w="0" w:type="auto"/>
        <w:tblLayout w:type="fixed"/>
        <w:tblCellMar>
          <w:left w:w="0" w:type="dxa"/>
          <w:right w:w="0" w:type="dxa"/>
        </w:tblCellMar>
        <w:tblLook w:val="0000"/>
      </w:tblPr>
      <w:tblGrid>
        <w:gridCol w:w="3420"/>
        <w:gridCol w:w="5940"/>
        <w:gridCol w:w="309"/>
      </w:tblGrid>
      <w:tr w:rsidR="007D064D" w:rsidRPr="00AF081D" w:rsidTr="003368E2">
        <w:trPr>
          <w:tblHeader/>
        </w:trPr>
        <w:tc>
          <w:tcPr>
            <w:tcW w:w="3420" w:type="dxa"/>
          </w:tcPr>
          <w:p w:rsidR="007D064D" w:rsidRPr="00AF081D" w:rsidRDefault="007D064D" w:rsidP="003368E2">
            <w:pPr>
              <w:snapToGrid w:val="0"/>
              <w:rPr>
                <w:color w:val="000000"/>
                <w:lang w:val="lv-LV"/>
              </w:rPr>
            </w:pPr>
          </w:p>
        </w:tc>
        <w:tc>
          <w:tcPr>
            <w:tcW w:w="5940" w:type="dxa"/>
            <w:tcMar>
              <w:left w:w="108" w:type="dxa"/>
              <w:right w:w="108" w:type="dxa"/>
            </w:tcMar>
          </w:tcPr>
          <w:p w:rsidR="007D064D" w:rsidRPr="00AF081D" w:rsidRDefault="007D064D" w:rsidP="003368E2">
            <w:pPr>
              <w:snapToGrid w:val="0"/>
              <w:jc w:val="right"/>
              <w:rPr>
                <w:color w:val="000000"/>
                <w:lang w:val="lv-LV"/>
              </w:rPr>
            </w:pPr>
            <w:r w:rsidRPr="00AF081D">
              <w:rPr>
                <w:color w:val="000000"/>
                <w:lang w:val="lv-LV"/>
              </w:rPr>
              <w:t>Pretendenta vadītāja</w:t>
            </w:r>
            <w:r>
              <w:rPr>
                <w:color w:val="000000"/>
                <w:lang w:val="lv-LV"/>
              </w:rPr>
              <w:t xml:space="preserve"> vai pretendenta </w:t>
            </w:r>
            <w:r w:rsidRPr="00AF081D">
              <w:rPr>
                <w:color w:val="000000"/>
                <w:lang w:val="lv-LV"/>
              </w:rPr>
              <w:t xml:space="preserve"> paraksts:____</w:t>
            </w:r>
          </w:p>
        </w:tc>
        <w:tc>
          <w:tcPr>
            <w:tcW w:w="309" w:type="dxa"/>
            <w:tcMar>
              <w:left w:w="108" w:type="dxa"/>
              <w:right w:w="108" w:type="dxa"/>
            </w:tcMar>
          </w:tcPr>
          <w:p w:rsidR="007D064D" w:rsidRPr="00AF081D" w:rsidRDefault="007D064D" w:rsidP="003368E2">
            <w:pPr>
              <w:snapToGrid w:val="0"/>
              <w:rPr>
                <w:color w:val="000000"/>
                <w:lang w:val="lv-LV"/>
              </w:rPr>
            </w:pPr>
          </w:p>
        </w:tc>
      </w:tr>
      <w:tr w:rsidR="007D064D" w:rsidRPr="00AF081D" w:rsidTr="003368E2">
        <w:tc>
          <w:tcPr>
            <w:tcW w:w="3420" w:type="dxa"/>
          </w:tcPr>
          <w:p w:rsidR="007D064D" w:rsidRPr="00AF081D" w:rsidRDefault="007D064D" w:rsidP="003368E2">
            <w:pPr>
              <w:pStyle w:val="TableContents"/>
              <w:snapToGrid w:val="0"/>
              <w:rPr>
                <w:color w:val="000000"/>
                <w:szCs w:val="24"/>
                <w:lang w:val="lv-LV"/>
              </w:rPr>
            </w:pPr>
          </w:p>
        </w:tc>
        <w:tc>
          <w:tcPr>
            <w:tcW w:w="5940" w:type="dxa"/>
            <w:tcMar>
              <w:left w:w="108" w:type="dxa"/>
              <w:right w:w="108" w:type="dxa"/>
            </w:tcMar>
          </w:tcPr>
          <w:p w:rsidR="007D064D" w:rsidRPr="00AF081D" w:rsidRDefault="007D064D" w:rsidP="003368E2">
            <w:pPr>
              <w:snapToGrid w:val="0"/>
              <w:jc w:val="right"/>
              <w:rPr>
                <w:color w:val="000000"/>
                <w:lang w:val="lv-LV"/>
              </w:rPr>
            </w:pPr>
            <w:r w:rsidRPr="00AF081D">
              <w:rPr>
                <w:color w:val="000000"/>
                <w:lang w:val="lv-LV"/>
              </w:rPr>
              <w:t>Vārds, uzvārds:____</w:t>
            </w:r>
          </w:p>
        </w:tc>
        <w:tc>
          <w:tcPr>
            <w:tcW w:w="309" w:type="dxa"/>
            <w:tcMar>
              <w:left w:w="108" w:type="dxa"/>
              <w:right w:w="108" w:type="dxa"/>
            </w:tcMar>
          </w:tcPr>
          <w:p w:rsidR="007D064D" w:rsidRPr="00AF081D" w:rsidRDefault="007D064D" w:rsidP="003368E2">
            <w:pPr>
              <w:snapToGrid w:val="0"/>
              <w:rPr>
                <w:color w:val="000000"/>
                <w:lang w:val="lv-LV"/>
              </w:rPr>
            </w:pPr>
          </w:p>
        </w:tc>
      </w:tr>
      <w:tr w:rsidR="007D064D" w:rsidRPr="00AF081D" w:rsidTr="003368E2">
        <w:tc>
          <w:tcPr>
            <w:tcW w:w="3420" w:type="dxa"/>
          </w:tcPr>
          <w:p w:rsidR="007D064D" w:rsidRPr="00AF081D" w:rsidRDefault="007D064D" w:rsidP="003368E2">
            <w:pPr>
              <w:pStyle w:val="TableContents"/>
              <w:snapToGrid w:val="0"/>
              <w:rPr>
                <w:color w:val="000000"/>
                <w:szCs w:val="24"/>
                <w:lang w:val="lv-LV"/>
              </w:rPr>
            </w:pPr>
          </w:p>
        </w:tc>
        <w:tc>
          <w:tcPr>
            <w:tcW w:w="5940" w:type="dxa"/>
            <w:tcMar>
              <w:left w:w="108" w:type="dxa"/>
              <w:right w:w="108" w:type="dxa"/>
            </w:tcMar>
          </w:tcPr>
          <w:p w:rsidR="007D064D" w:rsidRPr="00AF081D" w:rsidRDefault="007D064D" w:rsidP="003368E2">
            <w:pPr>
              <w:snapToGrid w:val="0"/>
              <w:jc w:val="right"/>
              <w:rPr>
                <w:color w:val="000000"/>
                <w:lang w:val="lv-LV"/>
              </w:rPr>
            </w:pPr>
            <w:r w:rsidRPr="00AF081D">
              <w:rPr>
                <w:color w:val="000000"/>
                <w:lang w:val="lv-LV"/>
              </w:rPr>
              <w:t>Amats:____</w:t>
            </w:r>
          </w:p>
        </w:tc>
        <w:tc>
          <w:tcPr>
            <w:tcW w:w="309" w:type="dxa"/>
            <w:tcMar>
              <w:left w:w="108" w:type="dxa"/>
              <w:right w:w="108" w:type="dxa"/>
            </w:tcMar>
          </w:tcPr>
          <w:p w:rsidR="007D064D" w:rsidRPr="00AF081D" w:rsidRDefault="007D064D" w:rsidP="003368E2">
            <w:pPr>
              <w:snapToGrid w:val="0"/>
              <w:rPr>
                <w:lang/>
              </w:rPr>
            </w:pPr>
          </w:p>
        </w:tc>
      </w:tr>
    </w:tbl>
    <w:p w:rsidR="007D064D" w:rsidRPr="00AF081D" w:rsidRDefault="007D064D" w:rsidP="007D064D">
      <w:pPr>
        <w:jc w:val="both"/>
      </w:pPr>
    </w:p>
    <w:p w:rsidR="007D064D" w:rsidRPr="00AF081D" w:rsidRDefault="007D064D" w:rsidP="007D064D">
      <w:pPr>
        <w:rPr>
          <w:rFonts w:eastAsia="Lucida Sans Unicode"/>
          <w:color w:val="000000"/>
          <w:kern w:val="1"/>
          <w:lang w:val="lv-LV"/>
        </w:rPr>
      </w:pPr>
      <w:r w:rsidRPr="00AF081D">
        <w:rPr>
          <w:rFonts w:eastAsia="Lucida Sans Unicode"/>
          <w:color w:val="000000"/>
          <w:kern w:val="1"/>
          <w:lang w:val="lv-LV"/>
        </w:rPr>
        <w:tab/>
      </w:r>
      <w:r w:rsidRPr="00AF081D">
        <w:rPr>
          <w:rFonts w:eastAsia="Lucida Sans Unicode"/>
          <w:color w:val="000000"/>
          <w:kern w:val="1"/>
          <w:lang w:val="lv-LV"/>
        </w:rPr>
        <w:tab/>
      </w:r>
      <w:r w:rsidRPr="00AF081D">
        <w:rPr>
          <w:rFonts w:eastAsia="Lucida Sans Unicode"/>
          <w:color w:val="000000"/>
          <w:kern w:val="1"/>
          <w:lang w:val="lv-LV"/>
        </w:rPr>
        <w:tab/>
      </w:r>
      <w:r w:rsidRPr="00AF081D">
        <w:rPr>
          <w:rFonts w:eastAsia="Lucida Sans Unicode"/>
          <w:color w:val="000000"/>
          <w:kern w:val="1"/>
          <w:lang w:val="lv-LV"/>
        </w:rPr>
        <w:tab/>
      </w:r>
      <w:r w:rsidRPr="00AF081D">
        <w:rPr>
          <w:rFonts w:eastAsia="Lucida Sans Unicode"/>
          <w:color w:val="000000"/>
          <w:kern w:val="1"/>
          <w:lang w:val="lv-LV"/>
        </w:rPr>
        <w:tab/>
      </w:r>
      <w:r w:rsidRPr="00AF081D">
        <w:rPr>
          <w:rFonts w:eastAsia="Lucida Sans Unicode"/>
          <w:color w:val="000000"/>
          <w:kern w:val="1"/>
          <w:lang w:val="lv-LV"/>
        </w:rPr>
        <w:tab/>
        <w:t>z.v.</w:t>
      </w:r>
    </w:p>
    <w:p w:rsidR="004D5BA3" w:rsidRPr="007D064D" w:rsidRDefault="007D064D" w:rsidP="007D064D">
      <w:r w:rsidRPr="00AF081D">
        <w:rPr>
          <w:color w:val="000000"/>
          <w:lang w:val="lv-LV"/>
        </w:rPr>
        <w:tab/>
      </w:r>
      <w:r w:rsidRPr="00AF081D">
        <w:rPr>
          <w:color w:val="000000"/>
          <w:lang w:val="lv-LV"/>
        </w:rPr>
        <w:tab/>
      </w:r>
      <w:r w:rsidRPr="00AF081D">
        <w:rPr>
          <w:color w:val="000000"/>
          <w:lang w:val="lv-LV"/>
        </w:rPr>
        <w:tab/>
      </w:r>
      <w:r w:rsidRPr="00AF081D">
        <w:rPr>
          <w:color w:val="000000"/>
          <w:lang w:val="lv-LV"/>
        </w:rPr>
        <w:tab/>
      </w:r>
    </w:p>
    <w:sectPr w:rsidR="004D5BA3" w:rsidRPr="007D064D" w:rsidSect="0008733E">
      <w:pgSz w:w="12240" w:h="15840"/>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20002A87" w:usb1="80000000" w:usb2="00000008" w:usb3="00000000" w:csb0="000001FF" w:csb1="00000000"/>
  </w:font>
  <w:font w:name="RimTimes">
    <w:altName w:val="Times New Roman"/>
    <w:charset w:val="00"/>
    <w:family w:val="auto"/>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66BFA"/>
    <w:multiLevelType w:val="multilevel"/>
    <w:tmpl w:val="60EA6D5A"/>
    <w:lvl w:ilvl="0">
      <w:start w:val="1"/>
      <w:numFmt w:val="decimal"/>
      <w:lvlText w:val="%1."/>
      <w:lvlJc w:val="left"/>
      <w:pPr>
        <w:tabs>
          <w:tab w:val="num" w:pos="360"/>
        </w:tabs>
        <w:ind w:left="360" w:hanging="360"/>
      </w:pPr>
      <w:rPr>
        <w:rFonts w:ascii="Times New Roman" w:hAnsi="Times New Roman" w:cs="Times New Roman" w:hint="default"/>
        <w:b/>
        <w:i/>
      </w:rPr>
    </w:lvl>
    <w:lvl w:ilvl="1">
      <w:start w:val="1"/>
      <w:numFmt w:val="decimal"/>
      <w:lvlText w:val="%1.%2."/>
      <w:lvlJc w:val="left"/>
      <w:pPr>
        <w:tabs>
          <w:tab w:val="num" w:pos="574"/>
        </w:tabs>
        <w:ind w:left="574" w:hanging="432"/>
      </w:pPr>
      <w:rPr>
        <w:b w:val="0"/>
        <w:i w:val="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263B55A3"/>
    <w:multiLevelType w:val="multilevel"/>
    <w:tmpl w:val="9462F0BC"/>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nsid w:val="68E02CAE"/>
    <w:multiLevelType w:val="hybridMultilevel"/>
    <w:tmpl w:val="C91CF5A8"/>
    <w:lvl w:ilvl="0" w:tplc="D85E3AFE">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74966F4E"/>
    <w:multiLevelType w:val="hybridMultilevel"/>
    <w:tmpl w:val="546E7212"/>
    <w:lvl w:ilvl="0" w:tplc="04260019">
      <w:start w:val="1"/>
      <w:numFmt w:val="bullet"/>
      <w:lvlText w:val=""/>
      <w:lvlJc w:val="left"/>
      <w:pPr>
        <w:tabs>
          <w:tab w:val="num" w:pos="1854"/>
        </w:tabs>
        <w:ind w:left="1854" w:hanging="360"/>
      </w:pPr>
      <w:rPr>
        <w:rFonts w:ascii="Symbol" w:hAnsi="Symbol" w:hint="default"/>
      </w:rPr>
    </w:lvl>
    <w:lvl w:ilvl="1" w:tplc="1D7440C4">
      <w:start w:val="1"/>
      <w:numFmt w:val="bullet"/>
      <w:lvlText w:val="o"/>
      <w:lvlJc w:val="left"/>
      <w:pPr>
        <w:tabs>
          <w:tab w:val="num" w:pos="2574"/>
        </w:tabs>
        <w:ind w:left="2574" w:hanging="360"/>
      </w:pPr>
      <w:rPr>
        <w:rFonts w:ascii="Courier New" w:hAnsi="Courier New" w:hint="default"/>
      </w:rPr>
    </w:lvl>
    <w:lvl w:ilvl="2" w:tplc="0426001B">
      <w:start w:val="1"/>
      <w:numFmt w:val="bullet"/>
      <w:lvlText w:val=""/>
      <w:lvlJc w:val="left"/>
      <w:pPr>
        <w:tabs>
          <w:tab w:val="num" w:pos="3294"/>
        </w:tabs>
        <w:ind w:left="3294" w:hanging="360"/>
      </w:pPr>
      <w:rPr>
        <w:rFonts w:ascii="Wingdings" w:hAnsi="Wingdings" w:hint="default"/>
      </w:rPr>
    </w:lvl>
    <w:lvl w:ilvl="3" w:tplc="0426000F">
      <w:start w:val="1"/>
      <w:numFmt w:val="bullet"/>
      <w:lvlText w:val=""/>
      <w:lvlJc w:val="left"/>
      <w:pPr>
        <w:tabs>
          <w:tab w:val="num" w:pos="4014"/>
        </w:tabs>
        <w:ind w:left="4014" w:hanging="360"/>
      </w:pPr>
      <w:rPr>
        <w:rFonts w:ascii="Symbol" w:hAnsi="Symbol" w:hint="default"/>
      </w:rPr>
    </w:lvl>
    <w:lvl w:ilvl="4" w:tplc="04260019">
      <w:start w:val="1"/>
      <w:numFmt w:val="bullet"/>
      <w:lvlText w:val="o"/>
      <w:lvlJc w:val="left"/>
      <w:pPr>
        <w:tabs>
          <w:tab w:val="num" w:pos="4734"/>
        </w:tabs>
        <w:ind w:left="4734" w:hanging="360"/>
      </w:pPr>
      <w:rPr>
        <w:rFonts w:ascii="Courier New" w:hAnsi="Courier New" w:hint="default"/>
      </w:rPr>
    </w:lvl>
    <w:lvl w:ilvl="5" w:tplc="0426001B">
      <w:start w:val="1"/>
      <w:numFmt w:val="bullet"/>
      <w:lvlText w:val=""/>
      <w:lvlJc w:val="left"/>
      <w:pPr>
        <w:tabs>
          <w:tab w:val="num" w:pos="5454"/>
        </w:tabs>
        <w:ind w:left="5454" w:hanging="360"/>
      </w:pPr>
      <w:rPr>
        <w:rFonts w:ascii="Wingdings" w:hAnsi="Wingdings" w:hint="default"/>
      </w:rPr>
    </w:lvl>
    <w:lvl w:ilvl="6" w:tplc="0426000F">
      <w:start w:val="1"/>
      <w:numFmt w:val="bullet"/>
      <w:lvlText w:val=""/>
      <w:lvlJc w:val="left"/>
      <w:pPr>
        <w:tabs>
          <w:tab w:val="num" w:pos="6174"/>
        </w:tabs>
        <w:ind w:left="6174" w:hanging="360"/>
      </w:pPr>
      <w:rPr>
        <w:rFonts w:ascii="Symbol" w:hAnsi="Symbol" w:hint="default"/>
      </w:rPr>
    </w:lvl>
    <w:lvl w:ilvl="7" w:tplc="04260019">
      <w:start w:val="1"/>
      <w:numFmt w:val="bullet"/>
      <w:lvlText w:val="o"/>
      <w:lvlJc w:val="left"/>
      <w:pPr>
        <w:tabs>
          <w:tab w:val="num" w:pos="6894"/>
        </w:tabs>
        <w:ind w:left="6894" w:hanging="360"/>
      </w:pPr>
      <w:rPr>
        <w:rFonts w:ascii="Courier New" w:hAnsi="Courier New" w:hint="default"/>
      </w:rPr>
    </w:lvl>
    <w:lvl w:ilvl="8" w:tplc="0426001B">
      <w:start w:val="1"/>
      <w:numFmt w:val="bullet"/>
      <w:lvlText w:val=""/>
      <w:lvlJc w:val="left"/>
      <w:pPr>
        <w:tabs>
          <w:tab w:val="num" w:pos="7614"/>
        </w:tabs>
        <w:ind w:left="7614"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7"/>
  <w:proofState w:spelling="clean" w:grammar="clean"/>
  <w:defaultTabStop w:val="720"/>
  <w:characterSpacingControl w:val="doNotCompress"/>
  <w:compat/>
  <w:rsids>
    <w:rsidRoot w:val="0008733E"/>
    <w:rsid w:val="0008733E"/>
    <w:rsid w:val="004D5BA3"/>
    <w:rsid w:val="007D06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33E"/>
    <w:pPr>
      <w:spacing w:after="0" w:line="240" w:lineRule="auto"/>
    </w:pPr>
    <w:rPr>
      <w:rFonts w:ascii="Times New Roman" w:eastAsia="Times New Roman" w:hAnsi="Times New Roman" w:cs="Times New Roman"/>
      <w:sz w:val="24"/>
      <w:szCs w:val="24"/>
      <w:lang w:val="ru-RU" w:eastAsia="ru-RU"/>
    </w:rPr>
  </w:style>
  <w:style w:type="paragraph" w:styleId="Heading3">
    <w:name w:val="heading 3"/>
    <w:basedOn w:val="Normal"/>
    <w:next w:val="Normal"/>
    <w:link w:val="Heading3Char"/>
    <w:qFormat/>
    <w:rsid w:val="007D064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8733E"/>
    <w:pPr>
      <w:widowControl w:val="0"/>
      <w:suppressAutoHyphens/>
      <w:spacing w:after="120"/>
    </w:pPr>
    <w:rPr>
      <w:rFonts w:ascii="RimTimes" w:hAnsi="RimTimes"/>
      <w:szCs w:val="20"/>
      <w:lang/>
    </w:rPr>
  </w:style>
  <w:style w:type="character" w:customStyle="1" w:styleId="BodyTextChar">
    <w:name w:val="Body Text Char"/>
    <w:basedOn w:val="DefaultParagraphFont"/>
    <w:link w:val="BodyText"/>
    <w:rsid w:val="0008733E"/>
    <w:rPr>
      <w:rFonts w:ascii="RimTimes" w:eastAsia="Times New Roman" w:hAnsi="RimTimes" w:cs="Times New Roman"/>
      <w:sz w:val="24"/>
      <w:szCs w:val="20"/>
      <w:lang/>
    </w:rPr>
  </w:style>
  <w:style w:type="paragraph" w:customStyle="1" w:styleId="TableContents">
    <w:name w:val="Table Contents"/>
    <w:basedOn w:val="Normal"/>
    <w:rsid w:val="0008733E"/>
    <w:pPr>
      <w:widowControl w:val="0"/>
      <w:suppressLineNumbers/>
      <w:suppressAutoHyphens/>
    </w:pPr>
    <w:rPr>
      <w:szCs w:val="20"/>
      <w:lang/>
    </w:rPr>
  </w:style>
  <w:style w:type="paragraph" w:styleId="ListParagraph">
    <w:name w:val="List Paragraph"/>
    <w:basedOn w:val="Normal"/>
    <w:uiPriority w:val="99"/>
    <w:qFormat/>
    <w:rsid w:val="0008733E"/>
    <w:pPr>
      <w:spacing w:after="160" w:line="259" w:lineRule="auto"/>
      <w:ind w:left="720"/>
      <w:contextualSpacing/>
    </w:pPr>
    <w:rPr>
      <w:rFonts w:ascii="Calibri" w:eastAsia="Calibri" w:hAnsi="Calibri"/>
      <w:sz w:val="22"/>
      <w:szCs w:val="22"/>
      <w:lang w:val="lv-LV" w:eastAsia="en-US"/>
    </w:rPr>
  </w:style>
  <w:style w:type="character" w:customStyle="1" w:styleId="Heading3Char">
    <w:name w:val="Heading 3 Char"/>
    <w:basedOn w:val="DefaultParagraphFont"/>
    <w:link w:val="Heading3"/>
    <w:rsid w:val="007D064D"/>
    <w:rPr>
      <w:rFonts w:ascii="Arial" w:eastAsia="Times New Roman" w:hAnsi="Arial" w:cs="Arial"/>
      <w:b/>
      <w:bCs/>
      <w:sz w:val="26"/>
      <w:szCs w:val="26"/>
      <w:lang w:val="ru-RU" w:eastAsia="ru-RU"/>
    </w:rPr>
  </w:style>
  <w:style w:type="character" w:styleId="Hyperlink">
    <w:name w:val="Hyperlink"/>
    <w:rsid w:val="007D064D"/>
    <w:rPr>
      <w:color w:val="0000FF"/>
      <w:u w:val="single"/>
    </w:rPr>
  </w:style>
  <w:style w:type="paragraph" w:customStyle="1" w:styleId="Punkts">
    <w:name w:val="Punkts"/>
    <w:basedOn w:val="Normal"/>
    <w:next w:val="Normal"/>
    <w:uiPriority w:val="99"/>
    <w:rsid w:val="007D064D"/>
    <w:pPr>
      <w:numPr>
        <w:numId w:val="2"/>
      </w:numPr>
      <w:tabs>
        <w:tab w:val="num" w:pos="851"/>
      </w:tabs>
      <w:ind w:left="851" w:hanging="851"/>
    </w:pPr>
    <w:rPr>
      <w:rFonts w:ascii="Arial" w:hAnsi="Arial" w:cs="Arial"/>
      <w:b/>
      <w:bCs/>
      <w:sz w:val="20"/>
      <w:szCs w:val="20"/>
      <w:lang w:val="lv-LV" w:eastAsia="lv-LV"/>
    </w:rPr>
  </w:style>
  <w:style w:type="paragraph" w:customStyle="1" w:styleId="Text2">
    <w:name w:val="Text 2"/>
    <w:basedOn w:val="Normal"/>
    <w:uiPriority w:val="99"/>
    <w:rsid w:val="007D064D"/>
    <w:pPr>
      <w:tabs>
        <w:tab w:val="left" w:pos="2161"/>
      </w:tabs>
      <w:spacing w:after="240"/>
      <w:ind w:left="1202"/>
      <w:jc w:val="both"/>
    </w:pPr>
    <w:rPr>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5461</Characters>
  <Application>Microsoft Office Word</Application>
  <DocSecurity>0</DocSecurity>
  <Lines>45</Lines>
  <Paragraphs>12</Paragraphs>
  <ScaleCrop>false</ScaleCrop>
  <Company/>
  <LinksUpToDate>false</LinksUpToDate>
  <CharactersWithSpaces>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Maajas</dc:creator>
  <cp:keywords/>
  <dc:description/>
  <cp:lastModifiedBy>Maajas</cp:lastModifiedBy>
  <cp:revision>2</cp:revision>
  <dcterms:created xsi:type="dcterms:W3CDTF">2014-09-17T17:07:00Z</dcterms:created>
  <dcterms:modified xsi:type="dcterms:W3CDTF">2014-09-17T17:07:00Z</dcterms:modified>
</cp:coreProperties>
</file>